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Y="1201"/>
        <w:tblW w:w="0" w:type="auto"/>
        <w:tblLook w:val="04A0" w:firstRow="1" w:lastRow="0" w:firstColumn="1" w:lastColumn="0" w:noHBand="0" w:noVBand="1"/>
      </w:tblPr>
      <w:tblGrid>
        <w:gridCol w:w="9345"/>
      </w:tblGrid>
      <w:tr w:rsidR="00F25489" w:rsidTr="00A34EC2">
        <w:tc>
          <w:tcPr>
            <w:tcW w:w="9345" w:type="dxa"/>
          </w:tcPr>
          <w:p w:rsidR="00F25489" w:rsidRPr="006E0DF3" w:rsidRDefault="00F25489" w:rsidP="00F25489">
            <w:pPr>
              <w:jc w:val="center"/>
              <w:rPr>
                <w:b/>
              </w:rPr>
            </w:pPr>
            <w:r w:rsidRPr="006E0DF3">
              <w:rPr>
                <w:b/>
              </w:rPr>
              <w:t>Название предмета</w:t>
            </w:r>
          </w:p>
        </w:tc>
      </w:tr>
      <w:tr w:rsidR="00F25489" w:rsidTr="00A34EC2">
        <w:tc>
          <w:tcPr>
            <w:tcW w:w="9345" w:type="dxa"/>
          </w:tcPr>
          <w:p w:rsidR="00F25489" w:rsidRPr="006E0DF3" w:rsidRDefault="00F25489" w:rsidP="00F25489">
            <w:pPr>
              <w:jc w:val="both"/>
            </w:pPr>
            <w:r>
              <w:t>Священное Писание Ветхого Завета</w:t>
            </w:r>
          </w:p>
        </w:tc>
      </w:tr>
      <w:tr w:rsidR="00F25489" w:rsidTr="00A34EC2">
        <w:tc>
          <w:tcPr>
            <w:tcW w:w="9345" w:type="dxa"/>
          </w:tcPr>
          <w:p w:rsidR="00F25489" w:rsidRPr="006E0DF3" w:rsidRDefault="00F25489" w:rsidP="00F25489">
            <w:pPr>
              <w:jc w:val="center"/>
              <w:rPr>
                <w:b/>
              </w:rPr>
            </w:pPr>
            <w:r w:rsidRPr="006E0DF3">
              <w:rPr>
                <w:b/>
              </w:rPr>
              <w:t>ФИО преподавателя</w:t>
            </w:r>
          </w:p>
        </w:tc>
      </w:tr>
      <w:tr w:rsidR="00F25489" w:rsidTr="00A34EC2">
        <w:tc>
          <w:tcPr>
            <w:tcW w:w="9345" w:type="dxa"/>
          </w:tcPr>
          <w:p w:rsidR="00F25489" w:rsidRPr="006E0DF3" w:rsidRDefault="00F25489" w:rsidP="00F25489">
            <w:pPr>
              <w:jc w:val="both"/>
            </w:pPr>
            <w:r>
              <w:t>Ледовский Дмитрий Сергеевич, иерей</w:t>
            </w:r>
          </w:p>
        </w:tc>
      </w:tr>
      <w:tr w:rsidR="00F25489" w:rsidTr="00A34EC2">
        <w:tc>
          <w:tcPr>
            <w:tcW w:w="9345" w:type="dxa"/>
          </w:tcPr>
          <w:p w:rsidR="00F25489" w:rsidRPr="006E0DF3" w:rsidRDefault="00F25489" w:rsidP="00F25489">
            <w:pPr>
              <w:jc w:val="center"/>
              <w:rPr>
                <w:b/>
              </w:rPr>
            </w:pPr>
            <w:r w:rsidRPr="006E0DF3">
              <w:rPr>
                <w:b/>
              </w:rPr>
              <w:t>Электронная почта преподавателя</w:t>
            </w:r>
          </w:p>
        </w:tc>
      </w:tr>
      <w:tr w:rsidR="00F25489" w:rsidTr="00A34EC2">
        <w:tc>
          <w:tcPr>
            <w:tcW w:w="9345" w:type="dxa"/>
          </w:tcPr>
          <w:p w:rsidR="00F25489" w:rsidRPr="00712929" w:rsidRDefault="00F25489" w:rsidP="00F25489">
            <w:pPr>
              <w:rPr>
                <w:lang w:val="en-US"/>
              </w:rPr>
            </w:pPr>
            <w:hyperlink r:id="rId7" w:history="1">
              <w:r w:rsidRPr="00050691">
                <w:rPr>
                  <w:rStyle w:val="a5"/>
                  <w:lang w:val="en-US"/>
                </w:rPr>
                <w:t>dmitrij.ledowsky@yandex.ru</w:t>
              </w:r>
            </w:hyperlink>
          </w:p>
        </w:tc>
      </w:tr>
    </w:tbl>
    <w:p w:rsidR="00F25489" w:rsidRDefault="00F25489" w:rsidP="00F25489">
      <w:pPr>
        <w:spacing w:before="120" w:after="120"/>
        <w:rPr>
          <w:i/>
        </w:rPr>
      </w:pPr>
      <w:r w:rsidRPr="007F211A">
        <w:rPr>
          <w:i/>
        </w:rPr>
        <w:t>Теоретическая часть</w:t>
      </w:r>
    </w:p>
    <w:p w:rsidR="00496C0F" w:rsidRDefault="00F25489" w:rsidP="00F25489">
      <w:pPr>
        <w:jc w:val="center"/>
        <w:rPr>
          <w:u w:val="single"/>
        </w:rPr>
      </w:pPr>
      <w:r>
        <w:pict>
          <v:rect id="_x0000_i1025" style="width:0;height:1.5pt" o:hralign="center" o:hrstd="t" o:hr="t" fillcolor="#a0a0a0" stroked="f"/>
        </w:pict>
      </w:r>
      <w:r w:rsidR="00496C0F" w:rsidRPr="006E0DF3">
        <w:rPr>
          <w:u w:val="single"/>
        </w:rPr>
        <w:t>Тема занятия</w:t>
      </w:r>
    </w:p>
    <w:p w:rsidR="00496C0F" w:rsidRPr="00D12A0F" w:rsidRDefault="00EA1B5F" w:rsidP="00F25489">
      <w:pPr>
        <w:jc w:val="center"/>
        <w:rPr>
          <w:szCs w:val="28"/>
        </w:rPr>
      </w:pPr>
      <w:r>
        <w:rPr>
          <w:szCs w:val="28"/>
        </w:rPr>
        <w:t>Книга пророка Аввакума</w:t>
      </w:r>
    </w:p>
    <w:p w:rsidR="00F25489" w:rsidRDefault="00F25489" w:rsidP="00496C0F">
      <w:pPr>
        <w:jc w:val="center"/>
        <w:rPr>
          <w:u w:val="single"/>
        </w:rPr>
      </w:pPr>
    </w:p>
    <w:p w:rsidR="00496C0F" w:rsidRPr="00D12A0F" w:rsidRDefault="00496C0F" w:rsidP="00496C0F">
      <w:pPr>
        <w:jc w:val="center"/>
        <w:rPr>
          <w:u w:val="single"/>
        </w:rPr>
      </w:pPr>
      <w:r w:rsidRPr="006E0DF3">
        <w:rPr>
          <w:u w:val="single"/>
        </w:rPr>
        <w:t>Литература к теме</w:t>
      </w:r>
    </w:p>
    <w:p w:rsidR="00496C0F" w:rsidRDefault="00496C0F" w:rsidP="00F25489">
      <w:pPr>
        <w:pStyle w:val="a4"/>
        <w:numPr>
          <w:ilvl w:val="0"/>
          <w:numId w:val="1"/>
        </w:numPr>
        <w:shd w:val="clear" w:color="auto" w:fill="FFFFFF" w:themeFill="background1"/>
        <w:spacing w:after="0" w:line="276" w:lineRule="auto"/>
        <w:jc w:val="both"/>
      </w:pPr>
      <w:r>
        <w:t>Кашкин А.С. Пророческие книги</w:t>
      </w:r>
    </w:p>
    <w:p w:rsidR="00496C0F" w:rsidRPr="00F25489" w:rsidRDefault="00496C0F" w:rsidP="00F25489">
      <w:pPr>
        <w:pStyle w:val="a4"/>
        <w:numPr>
          <w:ilvl w:val="0"/>
          <w:numId w:val="1"/>
        </w:numPr>
        <w:shd w:val="clear" w:color="auto" w:fill="FFFFFF" w:themeFill="background1"/>
        <w:spacing w:after="0" w:line="276" w:lineRule="auto"/>
        <w:jc w:val="both"/>
        <w:rPr>
          <w:b/>
        </w:rPr>
      </w:pPr>
      <w:r>
        <w:t xml:space="preserve">Прот. Геннадий Егоров. Священное Писание Ветхого Завета </w:t>
      </w:r>
      <w:hyperlink r:id="rId8" w:history="1">
        <w:r w:rsidRPr="002411A3">
          <w:rPr>
            <w:rStyle w:val="a5"/>
          </w:rPr>
          <w:t>https://azbyka.ru/otechnik/Biblia/svjashennoe-pisanie-vethogo-zaveta/</w:t>
        </w:r>
      </w:hyperlink>
      <w:r>
        <w:t xml:space="preserve">. </w:t>
      </w:r>
      <w:r w:rsidRPr="00F25489">
        <w:rPr>
          <w:b/>
        </w:rPr>
        <w:t>Раздел: книга пророка Ионы.</w:t>
      </w:r>
    </w:p>
    <w:p w:rsidR="00496C0F" w:rsidRDefault="00496C0F" w:rsidP="00496C0F">
      <w:pPr>
        <w:pStyle w:val="a4"/>
        <w:shd w:val="clear" w:color="auto" w:fill="FFFFFF" w:themeFill="background1"/>
        <w:spacing w:after="0" w:line="276" w:lineRule="auto"/>
        <w:jc w:val="both"/>
      </w:pPr>
    </w:p>
    <w:p w:rsidR="00496C0F" w:rsidRDefault="00496C0F" w:rsidP="00496C0F">
      <w:pPr>
        <w:pStyle w:val="a4"/>
        <w:shd w:val="clear" w:color="auto" w:fill="FFFFFF" w:themeFill="background1"/>
        <w:spacing w:after="0" w:line="276" w:lineRule="auto"/>
        <w:jc w:val="center"/>
        <w:rPr>
          <w:u w:val="single"/>
        </w:rPr>
      </w:pPr>
      <w:r w:rsidRPr="00496C0F">
        <w:rPr>
          <w:u w:val="single"/>
        </w:rPr>
        <w:t>Задание</w:t>
      </w:r>
    </w:p>
    <w:p w:rsidR="00496C0F" w:rsidRPr="00F25489" w:rsidRDefault="00F25489" w:rsidP="00F25489">
      <w:pPr>
        <w:jc w:val="both"/>
      </w:pPr>
      <w:r>
        <w:tab/>
      </w:r>
      <w:r w:rsidR="00496C0F" w:rsidRPr="00F25489">
        <w:t>Прочитать текст, предложенный ниже и сделать краткий конспект, в котором отразить следующие моменты: сведения о личности пророка, историческая ситуация и время служения.</w:t>
      </w:r>
    </w:p>
    <w:p w:rsidR="00496C0F" w:rsidRDefault="00496C0F" w:rsidP="00496C0F">
      <w:pPr>
        <w:pStyle w:val="a4"/>
        <w:shd w:val="clear" w:color="auto" w:fill="FFFFFF" w:themeFill="background1"/>
        <w:spacing w:after="0" w:line="276" w:lineRule="auto"/>
        <w:jc w:val="both"/>
      </w:pPr>
    </w:p>
    <w:p w:rsidR="00EA1B5F" w:rsidRPr="00EE363C" w:rsidRDefault="00EA1B5F" w:rsidP="00EA1B5F">
      <w:pPr>
        <w:spacing w:line="360" w:lineRule="auto"/>
        <w:jc w:val="center"/>
        <w:rPr>
          <w:b/>
          <w:sz w:val="32"/>
          <w:szCs w:val="32"/>
        </w:rPr>
      </w:pPr>
      <w:r w:rsidRPr="00EE363C">
        <w:rPr>
          <w:b/>
          <w:sz w:val="32"/>
          <w:szCs w:val="32"/>
        </w:rPr>
        <w:t>КНИГА ПРОРОКА АВВАКУМА.</w:t>
      </w:r>
    </w:p>
    <w:p w:rsidR="00EA1B5F" w:rsidRPr="00EE363C" w:rsidRDefault="00EA1B5F" w:rsidP="00EA1B5F">
      <w:pPr>
        <w:spacing w:line="360" w:lineRule="auto"/>
        <w:ind w:firstLine="708"/>
        <w:jc w:val="both"/>
        <w:rPr>
          <w:szCs w:val="28"/>
        </w:rPr>
      </w:pPr>
      <w:r w:rsidRPr="001B5FCC">
        <w:rPr>
          <w:szCs w:val="28"/>
        </w:rPr>
        <w:t>Имя</w:t>
      </w:r>
      <w:r>
        <w:rPr>
          <w:b/>
          <w:szCs w:val="28"/>
        </w:rPr>
        <w:t xml:space="preserve"> </w:t>
      </w:r>
      <w:r w:rsidRPr="00EE363C">
        <w:rPr>
          <w:b/>
          <w:szCs w:val="28"/>
        </w:rPr>
        <w:t>Аввакум</w:t>
      </w:r>
      <w:r w:rsidRPr="00EE363C">
        <w:rPr>
          <w:szCs w:val="28"/>
        </w:rPr>
        <w:t xml:space="preserve"> («хабакук») многие экзегеты производят от глагола «хабак», который означает «обнимать». Однако при этом одни толкуют имя как «обнимающий свой народ», другие – «обнимаемый Богом». Есть совсем другая версия объяснения имени. В аккадской литературе встречается термин </w:t>
      </w:r>
      <w:r w:rsidRPr="00EE363C">
        <w:rPr>
          <w:i/>
          <w:szCs w:val="28"/>
        </w:rPr>
        <w:t>хамбакуку</w:t>
      </w:r>
      <w:r w:rsidRPr="00EE363C">
        <w:rPr>
          <w:szCs w:val="28"/>
        </w:rPr>
        <w:t>, который означает некоторое растение. Возможно, что имя пророка имеет этот аккадский корень. В этом случае не исключено, что Аввакум происходил от смешанного брака.</w:t>
      </w:r>
    </w:p>
    <w:p w:rsidR="00EA1B5F" w:rsidRPr="00EE363C" w:rsidRDefault="00EA1B5F" w:rsidP="00EA1B5F">
      <w:pPr>
        <w:spacing w:line="360" w:lineRule="auto"/>
        <w:ind w:firstLine="708"/>
        <w:jc w:val="both"/>
        <w:rPr>
          <w:szCs w:val="28"/>
        </w:rPr>
      </w:pPr>
      <w:r w:rsidRPr="00EE363C">
        <w:rPr>
          <w:b/>
          <w:szCs w:val="28"/>
        </w:rPr>
        <w:lastRenderedPageBreak/>
        <w:t>Пророк</w:t>
      </w:r>
      <w:r w:rsidRPr="00EE363C">
        <w:rPr>
          <w:szCs w:val="28"/>
        </w:rPr>
        <w:t xml:space="preserve"> – это слов представлено как титул, среди книг допленных пророков это уникальный случай. Полагают, что Аввакум был представителем пророческой школы или был храмовым пророком.</w:t>
      </w:r>
    </w:p>
    <w:p w:rsidR="00EA1B5F" w:rsidRPr="00EE363C" w:rsidRDefault="00EA1B5F" w:rsidP="00EA1B5F">
      <w:pPr>
        <w:spacing w:line="360" w:lineRule="auto"/>
        <w:ind w:firstLine="708"/>
        <w:jc w:val="both"/>
        <w:rPr>
          <w:szCs w:val="28"/>
        </w:rPr>
      </w:pPr>
      <w:r w:rsidRPr="00EE363C">
        <w:rPr>
          <w:i/>
          <w:szCs w:val="28"/>
        </w:rPr>
        <w:t>Для пения</w:t>
      </w:r>
      <w:r w:rsidRPr="00EE363C">
        <w:rPr>
          <w:szCs w:val="28"/>
        </w:rPr>
        <w:t xml:space="preserve"> (</w:t>
      </w:r>
      <w:r>
        <w:rPr>
          <w:b/>
          <w:szCs w:val="28"/>
        </w:rPr>
        <w:t>3</w:t>
      </w:r>
      <w:r w:rsidRPr="00EE363C">
        <w:rPr>
          <w:szCs w:val="28"/>
        </w:rPr>
        <w:t xml:space="preserve">, 1) и </w:t>
      </w:r>
      <w:r w:rsidRPr="00EE363C">
        <w:rPr>
          <w:i/>
          <w:szCs w:val="28"/>
        </w:rPr>
        <w:t>начальнику хора</w:t>
      </w:r>
      <w:r w:rsidRPr="00EE363C">
        <w:rPr>
          <w:szCs w:val="28"/>
        </w:rPr>
        <w:t xml:space="preserve"> (</w:t>
      </w:r>
      <w:r>
        <w:rPr>
          <w:b/>
          <w:szCs w:val="28"/>
        </w:rPr>
        <w:t>3</w:t>
      </w:r>
      <w:r w:rsidRPr="00EE363C">
        <w:rPr>
          <w:szCs w:val="28"/>
        </w:rPr>
        <w:t>, 19) – эти стихи указывают на связь между Аввакумом и левитами, которые участвовали в храмовом пении. Полагают, что Аввакум сам был левитом. Однако эти слова могут означают и то, что песнь пророка Аввакума исполнялась за богослужением.</w:t>
      </w:r>
    </w:p>
    <w:p w:rsidR="00EA1B5F" w:rsidRPr="00EE363C" w:rsidRDefault="00EA1B5F" w:rsidP="00EA1B5F">
      <w:pPr>
        <w:spacing w:line="360" w:lineRule="auto"/>
        <w:ind w:firstLine="708"/>
        <w:jc w:val="both"/>
        <w:rPr>
          <w:szCs w:val="28"/>
        </w:rPr>
      </w:pPr>
      <w:r w:rsidRPr="00EE363C">
        <w:rPr>
          <w:b/>
          <w:szCs w:val="28"/>
        </w:rPr>
        <w:t>Время деятельности.</w:t>
      </w:r>
      <w:r w:rsidRPr="00EE363C">
        <w:rPr>
          <w:szCs w:val="28"/>
        </w:rPr>
        <w:t xml:space="preserve"> В первую очередь следует обратить внимание на стих </w:t>
      </w:r>
      <w:r>
        <w:rPr>
          <w:b/>
          <w:szCs w:val="28"/>
        </w:rPr>
        <w:t>1</w:t>
      </w:r>
      <w:r w:rsidRPr="00EE363C">
        <w:rPr>
          <w:szCs w:val="28"/>
        </w:rPr>
        <w:t xml:space="preserve">, 6, где говорится о халдеях. Следовательно, книга написана после 626 г., когда халдеи появились на исторической сцене. Далее, в начальных стихах книги </w:t>
      </w:r>
      <w:r>
        <w:rPr>
          <w:b/>
          <w:szCs w:val="28"/>
        </w:rPr>
        <w:t>1</w:t>
      </w:r>
      <w:r w:rsidRPr="00EE363C">
        <w:rPr>
          <w:szCs w:val="28"/>
        </w:rPr>
        <w:t xml:space="preserve">, 2-4 описывается состояние иудейского народа, которое указывает на время после смерти Иосии. Наконец, в первой главе описывается военное могущество вавилонян, что позволяет отнести деятельность пророка ко времени после битвы при Кархемише (605 г.), так как именно после этого сражения началась гегемония халдеев на Ближнем Востоке. С другой стороны, нашествие на Иудею только ожидается; следовательно, книга написана до 597 г., т. е. время деятельности пророка </w:t>
      </w:r>
      <w:r w:rsidRPr="00EE363C">
        <w:rPr>
          <w:b/>
          <w:szCs w:val="28"/>
        </w:rPr>
        <w:t>605 – 597</w:t>
      </w:r>
      <w:r w:rsidRPr="00EE363C">
        <w:rPr>
          <w:szCs w:val="28"/>
        </w:rPr>
        <w:t xml:space="preserve"> гг.</w:t>
      </w:r>
    </w:p>
    <w:p w:rsidR="00EA1B5F" w:rsidRPr="00EE363C" w:rsidRDefault="00EA1B5F" w:rsidP="00EA1B5F">
      <w:pPr>
        <w:spacing w:line="360" w:lineRule="auto"/>
        <w:ind w:firstLine="708"/>
        <w:jc w:val="both"/>
        <w:rPr>
          <w:szCs w:val="28"/>
        </w:rPr>
      </w:pPr>
      <w:r w:rsidRPr="00373CBC">
        <w:rPr>
          <w:b/>
          <w:szCs w:val="28"/>
        </w:rPr>
        <w:t>Историческая ситуация.</w:t>
      </w:r>
      <w:r w:rsidRPr="00EE363C">
        <w:rPr>
          <w:szCs w:val="28"/>
        </w:rPr>
        <w:t xml:space="preserve"> После разрушения Ниневии в 612 г. началась борьба за гегемонию на Ближнем Востоке. На роль мировой державы претендовал Вавилон, но ему противостоял Египет, которого поддерживали остатки ассирийской армии. Фараон Нехао </w:t>
      </w:r>
      <w:r w:rsidRPr="00EE363C">
        <w:rPr>
          <w:szCs w:val="28"/>
          <w:lang w:val="en-US"/>
        </w:rPr>
        <w:t>II</w:t>
      </w:r>
      <w:r w:rsidRPr="00EE363C">
        <w:rPr>
          <w:szCs w:val="28"/>
        </w:rPr>
        <w:t xml:space="preserve"> отправился на помощь Ассирии, однако при Мегиддо ему преградил путь Иосия. Силы были неравны, и иудейские войска были быстро разбиты, однако поход против Вавилона Египту пришлось отложить до другого времени. В Иудее воцарился Иоахаз, сын Иосии, но вскоре Нехао сместил его и поставил царем нечестивого Иоакима, который быстро вернул иудею на путь идолопоклонства. Вместе с этим процветали и другие общественные пороки, описанные в Авв. </w:t>
      </w:r>
      <w:r>
        <w:rPr>
          <w:b/>
          <w:szCs w:val="28"/>
        </w:rPr>
        <w:t>1</w:t>
      </w:r>
      <w:r w:rsidRPr="00EE363C">
        <w:rPr>
          <w:szCs w:val="28"/>
        </w:rPr>
        <w:t xml:space="preserve">, 3-4. Борьба между Египтом и Вавилоном вылилась в сражение при Кархемише, где наследный принц Навуходоносор полностью </w:t>
      </w:r>
      <w:r w:rsidRPr="00EE363C">
        <w:rPr>
          <w:szCs w:val="28"/>
        </w:rPr>
        <w:lastRenderedPageBreak/>
        <w:t>разбил войска египетско-ассирийской коалиции. После этого Иудея перешла под контроль Вавилона, но фараон Нехао не оставлял надежды вернуть под свой контроль Палестину. В 601 году фараону удалось оттеснить на время войска Навуходоносора, после чего Иоаким сразу же перешел на сторону Египта. Но, узнав об этом, халдеи послали свои войска в Иудею. В 597 году армия Навуходоносора уже стояла под Иерусалимом. В это время Иоаким умер и престол перешел к его сыну Иехонии, который решил сдаться на милость победителя. В результате в 597 г. множество знатных иудеев во главе с царем было отправлено в Вавилон.</w:t>
      </w:r>
    </w:p>
    <w:p w:rsidR="00EA1B5F" w:rsidRPr="00EE363C" w:rsidRDefault="00EA1B5F" w:rsidP="00EA1B5F">
      <w:pPr>
        <w:spacing w:line="360" w:lineRule="auto"/>
        <w:jc w:val="center"/>
        <w:rPr>
          <w:b/>
          <w:szCs w:val="28"/>
        </w:rPr>
      </w:pPr>
      <w:r w:rsidRPr="00EE363C">
        <w:rPr>
          <w:b/>
          <w:szCs w:val="28"/>
        </w:rPr>
        <w:t>Разделение книги на части.</w:t>
      </w:r>
    </w:p>
    <w:p w:rsidR="00EA1B5F" w:rsidRPr="00EE363C" w:rsidRDefault="00EA1B5F" w:rsidP="00EA1B5F">
      <w:pPr>
        <w:spacing w:line="360" w:lineRule="auto"/>
        <w:jc w:val="both"/>
        <w:rPr>
          <w:szCs w:val="28"/>
        </w:rPr>
      </w:pPr>
      <w:r w:rsidRPr="00EE363C">
        <w:rPr>
          <w:szCs w:val="28"/>
        </w:rPr>
        <w:t xml:space="preserve">     1. Вопрошание Господа пророком и ответ ему (</w:t>
      </w:r>
      <w:r>
        <w:rPr>
          <w:b/>
          <w:szCs w:val="28"/>
        </w:rPr>
        <w:t>1</w:t>
      </w:r>
      <w:r w:rsidRPr="00EE363C">
        <w:rPr>
          <w:szCs w:val="28"/>
        </w:rPr>
        <w:t xml:space="preserve">, 1 – </w:t>
      </w:r>
      <w:r>
        <w:rPr>
          <w:b/>
          <w:szCs w:val="28"/>
        </w:rPr>
        <w:t>2</w:t>
      </w:r>
      <w:r w:rsidRPr="00EE363C">
        <w:rPr>
          <w:szCs w:val="28"/>
        </w:rPr>
        <w:t>, 4).</w:t>
      </w:r>
    </w:p>
    <w:p w:rsidR="00EA1B5F" w:rsidRPr="00EE363C" w:rsidRDefault="00EA1B5F" w:rsidP="00EA1B5F">
      <w:pPr>
        <w:spacing w:line="360" w:lineRule="auto"/>
        <w:jc w:val="both"/>
        <w:rPr>
          <w:szCs w:val="28"/>
        </w:rPr>
      </w:pPr>
      <w:r w:rsidRPr="00EE363C">
        <w:rPr>
          <w:szCs w:val="28"/>
        </w:rPr>
        <w:t xml:space="preserve">     2. Участь надменных грешников (</w:t>
      </w:r>
      <w:r>
        <w:rPr>
          <w:b/>
          <w:szCs w:val="28"/>
        </w:rPr>
        <w:t>2</w:t>
      </w:r>
      <w:r w:rsidRPr="00EE363C">
        <w:rPr>
          <w:szCs w:val="28"/>
        </w:rPr>
        <w:t>, 5-20).</w:t>
      </w:r>
    </w:p>
    <w:p w:rsidR="00EA1B5F" w:rsidRDefault="00EA1B5F" w:rsidP="00EA1B5F">
      <w:pPr>
        <w:spacing w:line="360" w:lineRule="auto"/>
        <w:jc w:val="both"/>
        <w:rPr>
          <w:szCs w:val="28"/>
        </w:rPr>
      </w:pPr>
      <w:r w:rsidRPr="00EE363C">
        <w:rPr>
          <w:szCs w:val="28"/>
        </w:rPr>
        <w:t xml:space="preserve">     3. Суд Божий над нечестивыми (</w:t>
      </w:r>
      <w:r>
        <w:rPr>
          <w:b/>
          <w:szCs w:val="28"/>
        </w:rPr>
        <w:t xml:space="preserve">3 </w:t>
      </w:r>
      <w:r w:rsidRPr="00E9148F">
        <w:rPr>
          <w:szCs w:val="28"/>
        </w:rPr>
        <w:t>гл.</w:t>
      </w:r>
      <w:r w:rsidRPr="00EE363C">
        <w:rPr>
          <w:szCs w:val="28"/>
        </w:rPr>
        <w:t>). Этот гимн пророка Аввакума</w:t>
      </w:r>
      <w:r w:rsidRPr="00B657BF">
        <w:rPr>
          <w:szCs w:val="28"/>
        </w:rPr>
        <w:t xml:space="preserve"> </w:t>
      </w:r>
      <w:r>
        <w:rPr>
          <w:szCs w:val="28"/>
        </w:rPr>
        <w:t xml:space="preserve">был предназначен для пения за богослужением, о чем говорят стихи </w:t>
      </w:r>
      <w:r w:rsidRPr="00B657BF">
        <w:rPr>
          <w:b/>
          <w:szCs w:val="28"/>
        </w:rPr>
        <w:t>3</w:t>
      </w:r>
      <w:r>
        <w:rPr>
          <w:szCs w:val="28"/>
        </w:rPr>
        <w:t>, 1, 19 и знаки пауз («села»).</w:t>
      </w:r>
      <w:r w:rsidRPr="00EE363C">
        <w:rPr>
          <w:szCs w:val="28"/>
        </w:rPr>
        <w:t xml:space="preserve"> </w:t>
      </w:r>
      <w:r>
        <w:rPr>
          <w:szCs w:val="28"/>
        </w:rPr>
        <w:t xml:space="preserve">Он также </w:t>
      </w:r>
      <w:r w:rsidRPr="00EE363C">
        <w:rPr>
          <w:szCs w:val="28"/>
        </w:rPr>
        <w:t>положен в основу 4-й песни канона утрени.</w:t>
      </w:r>
    </w:p>
    <w:p w:rsidR="00EA1B5F" w:rsidRPr="00EE363C" w:rsidRDefault="00EA1B5F" w:rsidP="00EA1B5F">
      <w:pPr>
        <w:spacing w:line="360" w:lineRule="auto"/>
        <w:ind w:firstLine="708"/>
        <w:jc w:val="both"/>
        <w:rPr>
          <w:szCs w:val="28"/>
        </w:rPr>
      </w:pPr>
      <w:r w:rsidRPr="00EE363C">
        <w:rPr>
          <w:szCs w:val="28"/>
        </w:rPr>
        <w:t>Основная мысль книги сводится к тому, что человек перед лицом испытаний может найти опору только в полном доверии к Богу. Как бы долго ни длилось время невзгод, Бог совершил Свой суд и дарует верным спасение.</w:t>
      </w:r>
    </w:p>
    <w:p w:rsidR="00EA1B5F" w:rsidRPr="00EE363C" w:rsidRDefault="00EA1B5F" w:rsidP="00EA1B5F">
      <w:pPr>
        <w:spacing w:line="360" w:lineRule="auto"/>
        <w:jc w:val="center"/>
        <w:rPr>
          <w:sz w:val="30"/>
          <w:szCs w:val="30"/>
        </w:rPr>
      </w:pPr>
      <w:r w:rsidRPr="00EE363C">
        <w:rPr>
          <w:b/>
          <w:sz w:val="30"/>
          <w:szCs w:val="30"/>
        </w:rPr>
        <w:t>Богословие пророка Аввакума. Учение о вере.</w:t>
      </w:r>
    </w:p>
    <w:p w:rsidR="00EA1B5F" w:rsidRPr="00EE363C" w:rsidRDefault="00EA1B5F" w:rsidP="00EA1B5F">
      <w:pPr>
        <w:spacing w:line="360" w:lineRule="auto"/>
        <w:ind w:firstLine="708"/>
        <w:jc w:val="both"/>
        <w:rPr>
          <w:szCs w:val="28"/>
        </w:rPr>
      </w:pPr>
      <w:r w:rsidRPr="00EE363C">
        <w:rPr>
          <w:b/>
          <w:szCs w:val="28"/>
          <w:lang w:val="en-US"/>
        </w:rPr>
        <w:t>I</w:t>
      </w:r>
      <w:r w:rsidRPr="00EE363C">
        <w:rPr>
          <w:b/>
          <w:szCs w:val="28"/>
        </w:rPr>
        <w:t>, 2-4.</w:t>
      </w:r>
      <w:r w:rsidRPr="00EE363C">
        <w:rPr>
          <w:szCs w:val="28"/>
        </w:rPr>
        <w:t xml:space="preserve"> Книга открывается жалобой Аввакума на нечестие и развращение, который царят среди иудеев. Описывается угнетение праведного, отсутствие справедливого суда и насилие.</w:t>
      </w:r>
      <w:r>
        <w:rPr>
          <w:szCs w:val="28"/>
        </w:rPr>
        <w:t xml:space="preserve"> Виновниками беззаконий являются сами члены израильского общества.</w:t>
      </w:r>
      <w:r w:rsidRPr="00EE363C">
        <w:rPr>
          <w:szCs w:val="28"/>
        </w:rPr>
        <w:t xml:space="preserve"> Аввакум спрашивает, как долго Господь будет терпеть все эти беззакония.</w:t>
      </w:r>
    </w:p>
    <w:p w:rsidR="00EA1B5F" w:rsidRPr="00EE363C" w:rsidRDefault="00EA1B5F" w:rsidP="00EA1B5F">
      <w:pPr>
        <w:spacing w:line="360" w:lineRule="auto"/>
        <w:ind w:firstLine="708"/>
        <w:jc w:val="both"/>
        <w:rPr>
          <w:szCs w:val="28"/>
        </w:rPr>
      </w:pPr>
      <w:r w:rsidRPr="00EE363C">
        <w:rPr>
          <w:b/>
          <w:szCs w:val="28"/>
          <w:lang w:val="en-US"/>
        </w:rPr>
        <w:t>I</w:t>
      </w:r>
      <w:r w:rsidRPr="00EE363C">
        <w:rPr>
          <w:b/>
          <w:szCs w:val="28"/>
        </w:rPr>
        <w:t>, 5-11.</w:t>
      </w:r>
      <w:r w:rsidRPr="00EE363C">
        <w:rPr>
          <w:szCs w:val="28"/>
        </w:rPr>
        <w:t xml:space="preserve"> Ответ Бога неожиданный: Он указывает пророку на халдеев, которые будут Его орудием для наказания нечестивых грешников.</w:t>
      </w:r>
      <w:r>
        <w:rPr>
          <w:szCs w:val="28"/>
        </w:rPr>
        <w:t xml:space="preserve"> Этот </w:t>
      </w:r>
      <w:r>
        <w:rPr>
          <w:szCs w:val="28"/>
        </w:rPr>
        <w:lastRenderedPageBreak/>
        <w:t>народ отличается гордостью и жестокостью, а его воины сравнимы с хищными зверями и птицами.</w:t>
      </w:r>
    </w:p>
    <w:p w:rsidR="00EA1B5F" w:rsidRDefault="00EA1B5F" w:rsidP="00EA1B5F">
      <w:pPr>
        <w:spacing w:line="360" w:lineRule="auto"/>
        <w:ind w:firstLine="708"/>
        <w:jc w:val="both"/>
        <w:rPr>
          <w:szCs w:val="28"/>
        </w:rPr>
      </w:pPr>
      <w:r w:rsidRPr="00EE363C">
        <w:rPr>
          <w:b/>
          <w:szCs w:val="28"/>
          <w:lang w:val="en-US"/>
        </w:rPr>
        <w:t>I</w:t>
      </w:r>
      <w:r w:rsidRPr="00EE363C">
        <w:rPr>
          <w:b/>
          <w:szCs w:val="28"/>
        </w:rPr>
        <w:t xml:space="preserve">, 12 – </w:t>
      </w:r>
      <w:r w:rsidRPr="00EE363C">
        <w:rPr>
          <w:b/>
          <w:szCs w:val="28"/>
          <w:lang w:val="en-US"/>
        </w:rPr>
        <w:t>II</w:t>
      </w:r>
      <w:r w:rsidRPr="00EE363C">
        <w:rPr>
          <w:b/>
          <w:szCs w:val="28"/>
        </w:rPr>
        <w:t>, 1.</w:t>
      </w:r>
      <w:r w:rsidRPr="00EE363C">
        <w:rPr>
          <w:szCs w:val="28"/>
        </w:rPr>
        <w:t xml:space="preserve"> Это повергает Аввакума в еще большее отчаяние. Он знает, что враг послан "для наказания", но такой ответ его удовлетворяет. Как нечестивые язычники могут быть орудием суда над народом Божиим?</w:t>
      </w:r>
      <w:r>
        <w:rPr>
          <w:szCs w:val="28"/>
        </w:rPr>
        <w:t xml:space="preserve"> Такое наказание несправедливо, ибо как святой Бог может спокойно допустить злодеяния, творимые вавилонянами?</w:t>
      </w:r>
      <w:r w:rsidRPr="00EE363C">
        <w:rPr>
          <w:szCs w:val="28"/>
        </w:rPr>
        <w:t xml:space="preserve"> Аввакум поднимается на башню, ожидая иного Откровения.</w:t>
      </w:r>
    </w:p>
    <w:p w:rsidR="00EA1B5F" w:rsidRPr="00A35477" w:rsidRDefault="00EA1B5F" w:rsidP="00EA1B5F">
      <w:pPr>
        <w:spacing w:line="360" w:lineRule="auto"/>
        <w:ind w:firstLine="708"/>
        <w:jc w:val="both"/>
        <w:rPr>
          <w:szCs w:val="28"/>
        </w:rPr>
      </w:pPr>
      <w:r>
        <w:rPr>
          <w:szCs w:val="28"/>
        </w:rPr>
        <w:t>Интересно, что здесь Аввакум использует выражение «</w:t>
      </w:r>
      <w:r w:rsidRPr="00A35477">
        <w:rPr>
          <w:szCs w:val="28"/>
        </w:rPr>
        <w:t>Господь Бог мой, Святый мой</w:t>
      </w:r>
      <w:r>
        <w:rPr>
          <w:szCs w:val="28"/>
        </w:rPr>
        <w:t>» (</w:t>
      </w:r>
      <w:r w:rsidRPr="00A35477">
        <w:rPr>
          <w:b/>
          <w:szCs w:val="28"/>
        </w:rPr>
        <w:t>1</w:t>
      </w:r>
      <w:r>
        <w:rPr>
          <w:szCs w:val="28"/>
        </w:rPr>
        <w:t>, 12). В этой фразе подчеркивается одновременная отделенность Бога от греховного мира и его связь с народом посредством Завета.</w:t>
      </w:r>
    </w:p>
    <w:p w:rsidR="00EA1B5F" w:rsidRPr="00EE363C" w:rsidRDefault="00EA1B5F" w:rsidP="00EA1B5F">
      <w:pPr>
        <w:spacing w:line="360" w:lineRule="auto"/>
        <w:ind w:firstLine="708"/>
        <w:jc w:val="both"/>
        <w:rPr>
          <w:szCs w:val="28"/>
        </w:rPr>
      </w:pPr>
      <w:r w:rsidRPr="00EE363C">
        <w:rPr>
          <w:b/>
          <w:szCs w:val="28"/>
          <w:lang w:val="en-US"/>
        </w:rPr>
        <w:t>II</w:t>
      </w:r>
      <w:r w:rsidRPr="00EE363C">
        <w:rPr>
          <w:b/>
          <w:szCs w:val="28"/>
        </w:rPr>
        <w:t>, 2-4.</w:t>
      </w:r>
      <w:r w:rsidRPr="00EE363C">
        <w:rPr>
          <w:szCs w:val="28"/>
        </w:rPr>
        <w:t xml:space="preserve"> Пророк получает ответ, суть которого заключена в последней фразе:</w:t>
      </w:r>
    </w:p>
    <w:p w:rsidR="00EA1B5F" w:rsidRPr="00EE363C" w:rsidRDefault="00EA1B5F" w:rsidP="00EA1B5F">
      <w:pPr>
        <w:spacing w:line="360" w:lineRule="auto"/>
        <w:ind w:left="720"/>
        <w:rPr>
          <w:szCs w:val="28"/>
        </w:rPr>
      </w:pPr>
      <w:r w:rsidRPr="00EE363C">
        <w:rPr>
          <w:szCs w:val="28"/>
        </w:rPr>
        <w:t>Вот, душа надменная не успокоится,</w:t>
      </w:r>
      <w:r w:rsidRPr="00EE363C">
        <w:rPr>
          <w:szCs w:val="28"/>
        </w:rPr>
        <w:br/>
        <w:t xml:space="preserve"> </w:t>
      </w:r>
      <w:r w:rsidRPr="00EE363C">
        <w:rPr>
          <w:szCs w:val="28"/>
        </w:rPr>
        <w:tab/>
        <w:t>А ПРАВЕДНЫЙ СВОЕЮ ВЕРОЮ ЖИВ БУДЕТ.               (2,4)</w:t>
      </w:r>
    </w:p>
    <w:p w:rsidR="00EA1B5F" w:rsidRDefault="00EA1B5F" w:rsidP="00EA1B5F">
      <w:pPr>
        <w:spacing w:line="360" w:lineRule="auto"/>
        <w:ind w:firstLine="708"/>
        <w:jc w:val="both"/>
        <w:rPr>
          <w:szCs w:val="28"/>
        </w:rPr>
      </w:pPr>
      <w:r>
        <w:rPr>
          <w:szCs w:val="28"/>
        </w:rPr>
        <w:t xml:space="preserve">Эта фраза является самым известным отрывком из книги Аввакума и неоднократно цитируется в Новом Завете. Интересно, что если в еврейском подлиннике стоит «верою своею», то в греческом переводе </w:t>
      </w:r>
      <w:r>
        <w:rPr>
          <w:szCs w:val="28"/>
          <w:lang w:val="en-US"/>
        </w:rPr>
        <w:t>LXX</w:t>
      </w:r>
      <w:r>
        <w:rPr>
          <w:szCs w:val="28"/>
        </w:rPr>
        <w:t xml:space="preserve"> – «верою Моей». Здесь акцентировано внимание на доверие именно к Богу, так как слова данные исходят из уст Божиих. Необходимо подробно истолковать ее и два ключевых слова здесь – «праведный» и «вера».</w:t>
      </w:r>
    </w:p>
    <w:p w:rsidR="00EA1B5F" w:rsidRDefault="00EA1B5F" w:rsidP="00EA1B5F">
      <w:pPr>
        <w:spacing w:line="360" w:lineRule="auto"/>
        <w:ind w:firstLine="708"/>
        <w:jc w:val="both"/>
        <w:rPr>
          <w:szCs w:val="28"/>
        </w:rPr>
      </w:pPr>
      <w:r>
        <w:rPr>
          <w:szCs w:val="28"/>
        </w:rPr>
        <w:t xml:space="preserve">Термин «праведный» («цадик») происходит от еврейского «цедека» - правда, справедливость (греч. </w:t>
      </w:r>
      <w:r w:rsidRPr="0076167A">
        <w:rPr>
          <w:rFonts w:ascii="Grk3" w:hAnsi="Grk3" w:cs="Grk3"/>
          <w:szCs w:val="28"/>
        </w:rPr>
        <w:t>dikaiosu/nh</w:t>
      </w:r>
      <w:r>
        <w:rPr>
          <w:szCs w:val="28"/>
        </w:rPr>
        <w:t xml:space="preserve">). Этот термин в Библии часто прилагается к Богу (Втор. </w:t>
      </w:r>
      <w:r w:rsidRPr="00D041FF">
        <w:rPr>
          <w:b/>
          <w:szCs w:val="28"/>
        </w:rPr>
        <w:t>32</w:t>
      </w:r>
      <w:r>
        <w:rPr>
          <w:szCs w:val="28"/>
        </w:rPr>
        <w:t xml:space="preserve">, 4) и означает не столько справедливость Бога, сколько верность Его Своим обетованиям. Праведность – атрибут Бога по преимуществу; когда человек называется праведным, то это означает не </w:t>
      </w:r>
      <w:r>
        <w:rPr>
          <w:szCs w:val="28"/>
        </w:rPr>
        <w:lastRenderedPageBreak/>
        <w:t>только, что данный человек благочестив и справедлив, но прежде всего то, что данный человек верен Завету с Богом и хранит все Его заповеди.</w:t>
      </w:r>
    </w:p>
    <w:p w:rsidR="00EA1B5F" w:rsidRPr="000C4C91" w:rsidRDefault="00EA1B5F" w:rsidP="00EA1B5F">
      <w:pPr>
        <w:spacing w:line="360" w:lineRule="auto"/>
        <w:ind w:firstLine="708"/>
        <w:jc w:val="both"/>
        <w:rPr>
          <w:color w:val="000000"/>
          <w:szCs w:val="28"/>
        </w:rPr>
      </w:pPr>
      <w:r w:rsidRPr="00EE363C">
        <w:rPr>
          <w:szCs w:val="28"/>
        </w:rPr>
        <w:t xml:space="preserve">Библейское понятие о вере всегда подразумевает не сумму знаний о Боге и не уверенность в Его бытии, а </w:t>
      </w:r>
      <w:r w:rsidRPr="00EE363C">
        <w:rPr>
          <w:b/>
          <w:i/>
          <w:szCs w:val="28"/>
        </w:rPr>
        <w:t>доверие</w:t>
      </w:r>
      <w:r w:rsidRPr="00EE363C">
        <w:rPr>
          <w:szCs w:val="28"/>
        </w:rPr>
        <w:t xml:space="preserve"> Богу.</w:t>
      </w:r>
      <w:r>
        <w:rPr>
          <w:szCs w:val="28"/>
        </w:rPr>
        <w:t xml:space="preserve"> </w:t>
      </w:r>
      <w:r w:rsidRPr="00D116CF">
        <w:rPr>
          <w:szCs w:val="28"/>
        </w:rPr>
        <w:t xml:space="preserve">Еврейское слово "эмуна" (вера) происходит от корня "аман", </w:t>
      </w:r>
      <w:r w:rsidRPr="00D116CF">
        <w:rPr>
          <w:color w:val="000000"/>
          <w:szCs w:val="28"/>
        </w:rPr>
        <w:t>основное значение которого – «твердо стоять</w:t>
      </w:r>
      <w:r>
        <w:rPr>
          <w:color w:val="000000"/>
          <w:szCs w:val="28"/>
        </w:rPr>
        <w:t>, доверять</w:t>
      </w:r>
      <w:r w:rsidRPr="00D116CF">
        <w:rPr>
          <w:color w:val="000000"/>
          <w:szCs w:val="28"/>
        </w:rPr>
        <w:t xml:space="preserve">» </w:t>
      </w:r>
      <w:r w:rsidRPr="00D116CF">
        <w:rPr>
          <w:szCs w:val="28"/>
        </w:rPr>
        <w:t>(отсюда слово "аминь")</w:t>
      </w:r>
      <w:r w:rsidRPr="00D116CF">
        <w:rPr>
          <w:color w:val="000000"/>
          <w:szCs w:val="28"/>
        </w:rPr>
        <w:t>. От него образ</w:t>
      </w:r>
      <w:r>
        <w:rPr>
          <w:color w:val="000000"/>
          <w:szCs w:val="28"/>
        </w:rPr>
        <w:t>уется слово,</w:t>
      </w:r>
      <w:r w:rsidRPr="00D116CF">
        <w:rPr>
          <w:color w:val="000000"/>
          <w:szCs w:val="28"/>
        </w:rPr>
        <w:t xml:space="preserve"> обо</w:t>
      </w:r>
      <w:r>
        <w:rPr>
          <w:color w:val="000000"/>
          <w:szCs w:val="28"/>
        </w:rPr>
        <w:t>зна</w:t>
      </w:r>
      <w:r>
        <w:rPr>
          <w:color w:val="000000"/>
          <w:szCs w:val="28"/>
        </w:rPr>
        <w:softHyphen/>
        <w:t>чающее</w:t>
      </w:r>
      <w:r w:rsidRPr="00D116CF">
        <w:rPr>
          <w:color w:val="000000"/>
          <w:szCs w:val="28"/>
        </w:rPr>
        <w:t xml:space="preserve"> колонны, удерживающие храм (4 Цар. </w:t>
      </w:r>
      <w:r w:rsidRPr="00D116CF">
        <w:rPr>
          <w:b/>
          <w:color w:val="000000"/>
          <w:szCs w:val="28"/>
        </w:rPr>
        <w:t>18</w:t>
      </w:r>
      <w:r w:rsidRPr="00D116CF">
        <w:rPr>
          <w:color w:val="000000"/>
          <w:szCs w:val="28"/>
        </w:rPr>
        <w:t>, 16</w:t>
      </w:r>
      <w:r>
        <w:rPr>
          <w:color w:val="000000"/>
          <w:szCs w:val="28"/>
        </w:rPr>
        <w:t>)</w:t>
      </w:r>
      <w:r w:rsidRPr="00D116CF">
        <w:rPr>
          <w:color w:val="000000"/>
          <w:szCs w:val="28"/>
        </w:rPr>
        <w:t>.</w:t>
      </w:r>
      <w:r>
        <w:rPr>
          <w:color w:val="000000"/>
          <w:szCs w:val="28"/>
        </w:rPr>
        <w:t xml:space="preserve"> Следовательно, «верить» – считать надежным и твердым определенное лицо или слово. Не случайно прежде пророк называет Господа «</w:t>
      </w:r>
      <w:r w:rsidRPr="000C4C91">
        <w:rPr>
          <w:color w:val="000000"/>
          <w:szCs w:val="28"/>
        </w:rPr>
        <w:t>Скала моя!</w:t>
      </w:r>
      <w:r>
        <w:rPr>
          <w:color w:val="000000"/>
          <w:szCs w:val="28"/>
        </w:rPr>
        <w:t>», выражая тем самым идею о твердости и непоколебимости Бога. Таким образом, вера праведника – это и доверие Богу, и стойкость в перенесении испытаний.</w:t>
      </w:r>
    </w:p>
    <w:p w:rsidR="00EA1B5F" w:rsidRPr="00EE363C" w:rsidRDefault="00EA1B5F" w:rsidP="00EA1B5F">
      <w:pPr>
        <w:spacing w:line="360" w:lineRule="auto"/>
        <w:ind w:firstLine="708"/>
        <w:jc w:val="both"/>
        <w:rPr>
          <w:szCs w:val="28"/>
        </w:rPr>
      </w:pPr>
      <w:r w:rsidRPr="00EE363C">
        <w:rPr>
          <w:szCs w:val="28"/>
        </w:rPr>
        <w:t>Смысл изречения в противопоставлении человека, который полагается на себя, и человека, целиком вручившего себя Богу. Господь не объясняет Своих замыслов. Он лишь призывает верных возложить на Него все свое упование. В этом сущность библейской веры. Праведность, которая определяется доверием к Богу, ориентирована не на внешнюю действительность. Она стоит, как на камне, на знании, что Бог есть Добро и что на Него можно положиться. Следуя по пути Авраа</w:t>
      </w:r>
      <w:r>
        <w:rPr>
          <w:szCs w:val="28"/>
        </w:rPr>
        <w:t>ма, человек должен</w:t>
      </w:r>
      <w:r w:rsidRPr="00EE363C">
        <w:rPr>
          <w:szCs w:val="28"/>
        </w:rPr>
        <w:t xml:space="preserve"> </w:t>
      </w:r>
      <w:r>
        <w:rPr>
          <w:szCs w:val="28"/>
        </w:rPr>
        <w:t>"поверить</w:t>
      </w:r>
      <w:r w:rsidRPr="00EE363C">
        <w:rPr>
          <w:szCs w:val="28"/>
        </w:rPr>
        <w:t xml:space="preserve"> Богу". </w:t>
      </w:r>
      <w:r>
        <w:rPr>
          <w:szCs w:val="28"/>
        </w:rPr>
        <w:t>В этом случае он</w:t>
      </w:r>
      <w:r w:rsidRPr="00EE363C">
        <w:rPr>
          <w:szCs w:val="28"/>
        </w:rPr>
        <w:t xml:space="preserve"> обретет жизнь, ибо только вера дает ее. </w:t>
      </w:r>
    </w:p>
    <w:p w:rsidR="00EA1B5F" w:rsidRPr="00EE363C" w:rsidRDefault="00EA1B5F" w:rsidP="00EA1B5F">
      <w:pPr>
        <w:spacing w:line="360" w:lineRule="auto"/>
        <w:ind w:firstLine="708"/>
        <w:jc w:val="both"/>
        <w:rPr>
          <w:szCs w:val="28"/>
        </w:rPr>
      </w:pPr>
      <w:r>
        <w:rPr>
          <w:b/>
          <w:szCs w:val="28"/>
        </w:rPr>
        <w:t>3</w:t>
      </w:r>
      <w:r w:rsidRPr="00EE363C">
        <w:rPr>
          <w:b/>
          <w:szCs w:val="28"/>
        </w:rPr>
        <w:t xml:space="preserve"> гл.</w:t>
      </w:r>
      <w:r w:rsidRPr="00EE363C">
        <w:rPr>
          <w:szCs w:val="28"/>
        </w:rPr>
        <w:t xml:space="preserve"> Здесь находится псалом, в котором</w:t>
      </w:r>
      <w:r>
        <w:rPr>
          <w:szCs w:val="28"/>
        </w:rPr>
        <w:t>,</w:t>
      </w:r>
      <w:r w:rsidRPr="00EE363C">
        <w:rPr>
          <w:szCs w:val="28"/>
        </w:rPr>
        <w:t xml:space="preserve"> </w:t>
      </w:r>
      <w:r>
        <w:rPr>
          <w:szCs w:val="28"/>
        </w:rPr>
        <w:t>ч</w:t>
      </w:r>
      <w:r w:rsidRPr="00EE363C">
        <w:rPr>
          <w:szCs w:val="28"/>
        </w:rPr>
        <w:t>тобы изобразить величие Господа, пророк прибегает к образам космиче</w:t>
      </w:r>
      <w:r>
        <w:rPr>
          <w:szCs w:val="28"/>
        </w:rPr>
        <w:t xml:space="preserve">ской бури, которая </w:t>
      </w:r>
      <w:r w:rsidRPr="00EE363C">
        <w:rPr>
          <w:szCs w:val="28"/>
        </w:rPr>
        <w:t>символ</w:t>
      </w:r>
      <w:r>
        <w:rPr>
          <w:szCs w:val="28"/>
        </w:rPr>
        <w:t>изирует</w:t>
      </w:r>
      <w:r w:rsidRPr="00EE363C">
        <w:rPr>
          <w:szCs w:val="28"/>
        </w:rPr>
        <w:t xml:space="preserve"> историче</w:t>
      </w:r>
      <w:r>
        <w:rPr>
          <w:szCs w:val="28"/>
        </w:rPr>
        <w:t>ские</w:t>
      </w:r>
      <w:r w:rsidRPr="00EE363C">
        <w:rPr>
          <w:szCs w:val="28"/>
        </w:rPr>
        <w:t xml:space="preserve"> катастроф</w:t>
      </w:r>
      <w:r>
        <w:rPr>
          <w:szCs w:val="28"/>
        </w:rPr>
        <w:t>ы, ожидающие</w:t>
      </w:r>
      <w:r w:rsidRPr="00EE363C">
        <w:rPr>
          <w:szCs w:val="28"/>
        </w:rPr>
        <w:t xml:space="preserve"> мир. </w:t>
      </w:r>
      <w:r>
        <w:rPr>
          <w:szCs w:val="28"/>
        </w:rPr>
        <w:t>Очень важными являются слова: «Господи, …</w:t>
      </w:r>
      <w:r w:rsidRPr="00BA0B91">
        <w:rPr>
          <w:szCs w:val="28"/>
        </w:rPr>
        <w:t>во гневе вспомни о милости</w:t>
      </w:r>
      <w:r>
        <w:rPr>
          <w:szCs w:val="28"/>
        </w:rPr>
        <w:t>» (</w:t>
      </w:r>
      <w:r w:rsidRPr="00BA0B91">
        <w:rPr>
          <w:b/>
          <w:szCs w:val="28"/>
        </w:rPr>
        <w:t>3</w:t>
      </w:r>
      <w:r>
        <w:rPr>
          <w:szCs w:val="28"/>
        </w:rPr>
        <w:t xml:space="preserve">, 2), в которых говорится о том, что конечная цель наказания Божия – спасение человека. </w:t>
      </w:r>
      <w:r w:rsidRPr="00EE363C">
        <w:rPr>
          <w:szCs w:val="28"/>
        </w:rPr>
        <w:t xml:space="preserve">Хотя истинно верующий и трепещет перед лицом грозных переворотов, у него есть оплот и надежда – вера. Таким образом, в созерцании Бога пророк находит невыразимое словами, но исполненное силы разрешение всех своих сомнений. Он готов встретить любую грозу, если только Господь будет с ним. Он прибегает к Богу не только затем, чтобы обрести земное </w:t>
      </w:r>
      <w:r w:rsidRPr="00EE363C">
        <w:rPr>
          <w:szCs w:val="28"/>
        </w:rPr>
        <w:lastRenderedPageBreak/>
        <w:t>благоденствие, но потому, что Бог – его жизнь. Истинно верующего ничто не может поколебать (</w:t>
      </w:r>
      <w:r w:rsidRPr="0027161A">
        <w:rPr>
          <w:b/>
          <w:szCs w:val="28"/>
        </w:rPr>
        <w:t>3</w:t>
      </w:r>
      <w:r w:rsidRPr="00EE363C">
        <w:rPr>
          <w:szCs w:val="28"/>
        </w:rPr>
        <w:t>, 17-18).</w:t>
      </w:r>
      <w:r>
        <w:rPr>
          <w:szCs w:val="28"/>
        </w:rPr>
        <w:t xml:space="preserve"> </w:t>
      </w:r>
      <w:r w:rsidRPr="00EE363C">
        <w:rPr>
          <w:szCs w:val="28"/>
        </w:rPr>
        <w:t>Эти слова пророка знаменуют важный поворот в ветхозаветном сознании: человек освобождается от корыстного отношения к вере.</w:t>
      </w:r>
    </w:p>
    <w:p w:rsidR="00496C0F" w:rsidRDefault="00F25489" w:rsidP="00496C0F">
      <w:pPr>
        <w:jc w:val="both"/>
      </w:pPr>
      <w:r>
        <w:pict>
          <v:rect id="_x0000_i1027" style="width:0;height:1.5pt" o:hralign="center" o:hrstd="t" o:hr="t" fillcolor="#a0a0a0" stroked="f"/>
        </w:pict>
      </w:r>
    </w:p>
    <w:p w:rsidR="00496C0F" w:rsidRDefault="00496C0F" w:rsidP="00496C0F">
      <w:pPr>
        <w:jc w:val="center"/>
        <w:rPr>
          <w:u w:val="single"/>
        </w:rPr>
      </w:pPr>
      <w:r w:rsidRPr="002B725A">
        <w:rPr>
          <w:u w:val="single"/>
        </w:rPr>
        <w:t>Форма проверки семинарского (практического) занятия:</w:t>
      </w:r>
    </w:p>
    <w:p w:rsidR="00496C0F" w:rsidRDefault="00496C0F" w:rsidP="00F25489">
      <w:pPr>
        <w:jc w:val="center"/>
      </w:pPr>
      <w:r>
        <w:t>Письменный ответ на поставленный вопрос</w:t>
      </w:r>
    </w:p>
    <w:p w:rsidR="00496C0F" w:rsidRDefault="00F25489" w:rsidP="00F25489">
      <w:pPr>
        <w:jc w:val="center"/>
      </w:pPr>
      <w:r>
        <w:pict>
          <v:rect id="_x0000_i1028" style="width:0;height:1.5pt" o:hralign="center" o:hrstd="t" o:hr="t" fillcolor="#a0a0a0" stroked="f"/>
        </w:pict>
      </w:r>
    </w:p>
    <w:p w:rsidR="00496C0F" w:rsidRDefault="00496C0F" w:rsidP="00496C0F">
      <w:pPr>
        <w:jc w:val="both"/>
        <w:rPr>
          <w:b/>
        </w:rPr>
      </w:pPr>
      <w:r w:rsidRPr="006E0DF3">
        <w:rPr>
          <w:b/>
        </w:rPr>
        <w:t>Сроки отчетности</w:t>
      </w:r>
    </w:p>
    <w:p w:rsidR="005B1424" w:rsidRPr="00F25489" w:rsidRDefault="00F25489" w:rsidP="00F25489">
      <w:pPr>
        <w:jc w:val="center"/>
        <w:rPr>
          <w:color w:val="FF0000"/>
        </w:rPr>
      </w:pPr>
      <w:bookmarkStart w:id="0" w:name="_GoBack"/>
      <w:r w:rsidRPr="00F25489">
        <w:rPr>
          <w:color w:val="FF0000"/>
        </w:rPr>
        <w:t>ЗАДАНИЕ ДОЛЖНО БЫТЬ ВЫПОЛНЕНО ДО 29 МАЯ</w:t>
      </w:r>
      <w:bookmarkEnd w:id="0"/>
    </w:p>
    <w:sectPr w:rsidR="005B1424" w:rsidRPr="00F2548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2DC" w:rsidRDefault="00C722DC" w:rsidP="00496C0F">
      <w:pPr>
        <w:spacing w:after="0" w:line="240" w:lineRule="auto"/>
      </w:pPr>
      <w:r>
        <w:separator/>
      </w:r>
    </w:p>
  </w:endnote>
  <w:endnote w:type="continuationSeparator" w:id="0">
    <w:p w:rsidR="00C722DC" w:rsidRDefault="00C722DC" w:rsidP="0049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rk3">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046372"/>
      <w:docPartObj>
        <w:docPartGallery w:val="Page Numbers (Bottom of Page)"/>
        <w:docPartUnique/>
      </w:docPartObj>
    </w:sdtPr>
    <w:sdtEndPr/>
    <w:sdtContent>
      <w:p w:rsidR="00496C0F" w:rsidRDefault="00496C0F">
        <w:pPr>
          <w:pStyle w:val="a8"/>
          <w:jc w:val="center"/>
        </w:pPr>
        <w:r>
          <w:fldChar w:fldCharType="begin"/>
        </w:r>
        <w:r>
          <w:instrText>PAGE   \* MERGEFORMAT</w:instrText>
        </w:r>
        <w:r>
          <w:fldChar w:fldCharType="separate"/>
        </w:r>
        <w:r w:rsidR="00F25489">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2DC" w:rsidRDefault="00C722DC" w:rsidP="00496C0F">
      <w:pPr>
        <w:spacing w:after="0" w:line="240" w:lineRule="auto"/>
      </w:pPr>
      <w:r>
        <w:separator/>
      </w:r>
    </w:p>
  </w:footnote>
  <w:footnote w:type="continuationSeparator" w:id="0">
    <w:p w:rsidR="00C722DC" w:rsidRDefault="00C722DC" w:rsidP="00496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51398"/>
    <w:multiLevelType w:val="hybridMultilevel"/>
    <w:tmpl w:val="BA9A3ACC"/>
    <w:lvl w:ilvl="0" w:tplc="96CEC5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698438A5"/>
    <w:multiLevelType w:val="hybridMultilevel"/>
    <w:tmpl w:val="59E8741A"/>
    <w:lvl w:ilvl="0" w:tplc="309634F8">
      <w:start w:val="1"/>
      <w:numFmt w:val="decimal"/>
      <w:suff w:val="space"/>
      <w:lvlText w:val="%1."/>
      <w:lvlJc w:val="left"/>
      <w:pPr>
        <w:ind w:left="0" w:firstLine="56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FF1ADF"/>
    <w:multiLevelType w:val="hybridMultilevel"/>
    <w:tmpl w:val="9CC6D822"/>
    <w:lvl w:ilvl="0" w:tplc="854C284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24"/>
    <w:rsid w:val="00496C0F"/>
    <w:rsid w:val="005B1424"/>
    <w:rsid w:val="007E5366"/>
    <w:rsid w:val="00C722DC"/>
    <w:rsid w:val="00E56779"/>
    <w:rsid w:val="00EA1B5F"/>
    <w:rsid w:val="00F2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6660"/>
  <w15:docId w15:val="{394580DF-3D51-42E9-9E91-86DC9CBB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0F"/>
    <w:pPr>
      <w:spacing w:after="160" w:line="259" w:lineRule="auto"/>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C0F"/>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C0F"/>
    <w:pPr>
      <w:ind w:left="720"/>
      <w:contextualSpacing/>
    </w:pPr>
  </w:style>
  <w:style w:type="character" w:styleId="a5">
    <w:name w:val="Hyperlink"/>
    <w:basedOn w:val="a0"/>
    <w:uiPriority w:val="99"/>
    <w:unhideWhenUsed/>
    <w:rsid w:val="00496C0F"/>
    <w:rPr>
      <w:color w:val="0000FF" w:themeColor="hyperlink"/>
      <w:u w:val="single"/>
    </w:rPr>
  </w:style>
  <w:style w:type="paragraph" w:styleId="a6">
    <w:name w:val="header"/>
    <w:basedOn w:val="a"/>
    <w:link w:val="a7"/>
    <w:uiPriority w:val="99"/>
    <w:unhideWhenUsed/>
    <w:rsid w:val="00496C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C0F"/>
    <w:rPr>
      <w:rFonts w:ascii="Times New Roman" w:hAnsi="Times New Roman" w:cs="Times New Roman"/>
      <w:sz w:val="28"/>
      <w:szCs w:val="24"/>
    </w:rPr>
  </w:style>
  <w:style w:type="paragraph" w:styleId="a8">
    <w:name w:val="footer"/>
    <w:basedOn w:val="a"/>
    <w:link w:val="a9"/>
    <w:uiPriority w:val="99"/>
    <w:unhideWhenUsed/>
    <w:rsid w:val="00496C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6C0F"/>
    <w:rPr>
      <w:rFonts w:ascii="Times New Roman" w:hAnsi="Times New Roman" w:cs="Times New Roman"/>
      <w:sz w:val="28"/>
      <w:szCs w:val="24"/>
    </w:rPr>
  </w:style>
  <w:style w:type="paragraph" w:styleId="aa">
    <w:name w:val="footnote text"/>
    <w:basedOn w:val="a"/>
    <w:link w:val="ab"/>
    <w:semiHidden/>
    <w:rsid w:val="00496C0F"/>
    <w:pPr>
      <w:spacing w:after="0" w:line="240" w:lineRule="auto"/>
    </w:pPr>
    <w:rPr>
      <w:rFonts w:eastAsia="Times New Roman"/>
      <w:sz w:val="20"/>
      <w:szCs w:val="20"/>
      <w:lang w:eastAsia="ru-RU"/>
    </w:rPr>
  </w:style>
  <w:style w:type="character" w:customStyle="1" w:styleId="ab">
    <w:name w:val="Текст сноски Знак"/>
    <w:basedOn w:val="a0"/>
    <w:link w:val="aa"/>
    <w:semiHidden/>
    <w:rsid w:val="00496C0F"/>
    <w:rPr>
      <w:rFonts w:ascii="Times New Roman" w:eastAsia="Times New Roman" w:hAnsi="Times New Roman" w:cs="Times New Roman"/>
      <w:sz w:val="20"/>
      <w:szCs w:val="20"/>
      <w:lang w:eastAsia="ru-RU"/>
    </w:rPr>
  </w:style>
  <w:style w:type="character" w:styleId="ac">
    <w:name w:val="footnote reference"/>
    <w:semiHidden/>
    <w:rsid w:val="00496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Biblia/svjashennoe-pisanie-vethogo-zaveta/" TargetMode="External"/><Relationship Id="rId3" Type="http://schemas.openxmlformats.org/officeDocument/2006/relationships/settings" Target="settings.xml"/><Relationship Id="rId7" Type="http://schemas.openxmlformats.org/officeDocument/2006/relationships/hyperlink" Target="mailto:dmitrij.ledowsky@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dcterms:created xsi:type="dcterms:W3CDTF">2020-03-24T10:01:00Z</dcterms:created>
  <dcterms:modified xsi:type="dcterms:W3CDTF">2020-05-17T10:19:00Z</dcterms:modified>
</cp:coreProperties>
</file>