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jc w:val="center"/>
        <w:tblLook w:val="04A0"/>
      </w:tblPr>
      <w:tblGrid>
        <w:gridCol w:w="9889"/>
      </w:tblGrid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Священное писание Нового Завета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both"/>
            </w:pPr>
            <w:r>
              <w:t>Викин Сергей Сергеевич, иерей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9F5B27" w:rsidRPr="006E0DF3" w:rsidRDefault="009F5B27" w:rsidP="009F5B27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9F5B27" w:rsidTr="009F5B27">
        <w:trPr>
          <w:jc w:val="center"/>
        </w:trPr>
        <w:tc>
          <w:tcPr>
            <w:tcW w:w="9889" w:type="dxa"/>
          </w:tcPr>
          <w:p w:rsidR="002F37C8" w:rsidRPr="002F37C8" w:rsidRDefault="002F37C8" w:rsidP="002F37C8"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"mailto:vsobor35@yandex.ru" </w:instrText>
            </w:r>
            <w:r>
              <w:rPr>
                <w:lang w:val="en-US"/>
              </w:rPr>
              <w:fldChar w:fldCharType="separate"/>
            </w:r>
            <w:r w:rsidRPr="00F4191E">
              <w:rPr>
                <w:rStyle w:val="a5"/>
                <w:lang w:val="en-US"/>
              </w:rPr>
              <w:t>vsobor35@yandex.ru</w:t>
            </w:r>
            <w:r>
              <w:rPr>
                <w:lang w:val="en-US"/>
              </w:rPr>
              <w:fldChar w:fldCharType="end"/>
            </w:r>
          </w:p>
        </w:tc>
      </w:tr>
    </w:tbl>
    <w:p w:rsidR="002F37C8" w:rsidRDefault="002F37C8" w:rsidP="002F37C8">
      <w:pPr>
        <w:rPr>
          <w:b/>
        </w:rPr>
      </w:pP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25" style="width:467.75pt;height:1.5pt" o:hralign="center" o:hrstd="t" o:hr="t" fillcolor="#a0a0a0" stroked="f"/>
        </w:pict>
      </w:r>
    </w:p>
    <w:p w:rsidR="009F5B27" w:rsidRDefault="009F5B27" w:rsidP="003B233D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26" style="width:467.75pt;height:1.5pt" o:hralign="center" o:hrstd="t" o:hr="t" fillcolor="#a0a0a0" stroked="f"/>
        </w:pict>
      </w:r>
    </w:p>
    <w:p w:rsidR="00000016" w:rsidRDefault="00000016" w:rsidP="003B233D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1. Предмет и задачи библейской науки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 Структура библейской науки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2.1. Введение (исагогика)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2.2. Состав введения в Новый Завет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2.3. Библейская герменевтика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2.3.1. Необходимость герменевтики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2.3.2. Соотношение терминов «герменевтика» и «экзегетика»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2.3.3. Понятие </w:t>
      </w:r>
      <w:proofErr w:type="spellStart"/>
      <w:r>
        <w:t>богодухновенности</w:t>
      </w:r>
      <w:proofErr w:type="spellEnd"/>
      <w:r>
        <w:t xml:space="preserve"> – центральная герменевтическая проблема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2.3.4. Спорные проблемы герменевтики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2.4.История канона библейских книг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2.5. Библейская текстология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2.6. Библейская филология и лексикография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2.7. История библейской экзегетики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2.8. Библейская археология и вспомогательные дисциплины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2.9. Экзегетика (экзегеза)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 Методы библейской науки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3.1. Еврейская традиция толкования и ее влияние на </w:t>
      </w:r>
      <w:proofErr w:type="spellStart"/>
      <w:r>
        <w:t>раннехристианский</w:t>
      </w:r>
      <w:proofErr w:type="spellEnd"/>
      <w:r>
        <w:t xml:space="preserve"> </w:t>
      </w:r>
      <w:proofErr w:type="spellStart"/>
      <w:r>
        <w:t>экзегезис</w:t>
      </w:r>
      <w:proofErr w:type="spell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3.2. Аллегорический метод толкования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 Краткий очерк христианской экзегетики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3.3.1. Христианская экзегетика до </w:t>
      </w:r>
      <w:proofErr w:type="spellStart"/>
      <w:r>
        <w:t>Оригена</w:t>
      </w:r>
      <w:proofErr w:type="spell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3.3.2. Экзегетика </w:t>
      </w:r>
      <w:proofErr w:type="spellStart"/>
      <w:r>
        <w:t>Климента</w:t>
      </w:r>
      <w:proofErr w:type="spellEnd"/>
      <w:r>
        <w:t xml:space="preserve"> </w:t>
      </w:r>
      <w:proofErr w:type="gramStart"/>
      <w:r>
        <w:t>Александрийского</w:t>
      </w:r>
      <w:proofErr w:type="gramEnd"/>
      <w:r>
        <w:t xml:space="preserve"> и </w:t>
      </w:r>
      <w:proofErr w:type="spellStart"/>
      <w:r>
        <w:t>Оригена</w:t>
      </w:r>
      <w:proofErr w:type="spell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3.3.3. Антиохийская и александрийская экзегетика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3.3.4. Типология как альтернатива аллегории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3.3.5. Принципы герменевтики блаженного Августина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3.3.6. Концепция четырех уровней смысла Священного Писания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3.3.7. Средневековая экзегетика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3.3.8. Выводы. Характерные особенности святоотеческой экзегезы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lastRenderedPageBreak/>
        <w:t>3.4. Историко-критический метод исследования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 Очерк истории развития библейской науки на западе в новейший период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4.1. Текстуальная критика (подробнее см. п. 9)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4.3.Критика форм (</w:t>
      </w:r>
      <w:proofErr w:type="spellStart"/>
      <w:r>
        <w:t>форманализ</w:t>
      </w:r>
      <w:proofErr w:type="spellEnd"/>
      <w:r>
        <w:t>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4.4.Критика редакций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4.5. Вопрос об «историческом Иисусе»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4.6. Поиск «подлинных слов Иисуса»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4.7. Выводы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4.8. Заключение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5. Политический и социальный контекст </w:t>
      </w:r>
      <w:proofErr w:type="spellStart"/>
      <w:r>
        <w:t>Новозоветной</w:t>
      </w:r>
      <w:proofErr w:type="spellEnd"/>
      <w:r>
        <w:t xml:space="preserve"> эпохи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5.1. Обзор политической истории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5.1.1 Ирод Великий и его царствование. Династия Иродов.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5.2. Обзор социальной среды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5.2.1. Языки Палестины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5.2.2. Пути сообщения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6.Религиозный и культурный контекст Новозаветной эпохи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6.1. Обзор </w:t>
      </w:r>
      <w:proofErr w:type="gramStart"/>
      <w:r>
        <w:t>религиозной</w:t>
      </w:r>
      <w:proofErr w:type="gramEnd"/>
      <w:r>
        <w:t xml:space="preserve"> и культурной срезы иудаизма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6.1.1. </w:t>
      </w:r>
      <w:proofErr w:type="spellStart"/>
      <w:r>
        <w:t>Межзаветная</w:t>
      </w:r>
      <w:proofErr w:type="spellEnd"/>
      <w:r>
        <w:t xml:space="preserve"> иудейская литература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6.1.2. Иудейские партии и секты в эпоху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6.1.3. Иерусалимский храм и его ритуал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6.1.4. Иудейские праздники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6.1.5. Синагога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6.2. Обзор языческой религиозной и культурной среды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7.Терминология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7.1. Термин «Новый Завет»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7.2.Термин «Евангелие»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7.2.1. Ветхозаветные истоки термина «Евангелие»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7.2.2. Слово «Евангелие» в современном языке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7.2.3. Использование в Новом Завете термина «Евангелие»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7.2.4. Употребление термина у мужей апостольских и у ранних отцов Церкви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7.2.5. Одно Евангелие или несколько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7.3. Термин «канон»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7.4. Термин «апокриф»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7.4.1. Классификации апокрифических евангелий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7.5. «Спорные сочинения»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7.6. Аграфа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8.1.Критерии каноничности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8.2. Основные этапы формирования канона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8.2.1. Ранний период (I в.)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8.2.2. Период мужей апостольских (конец I – начало II в.)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8.2.3. </w:t>
      </w:r>
      <w:proofErr w:type="gramStart"/>
      <w:r>
        <w:t xml:space="preserve">От эпохи борьбы с гностицизмом до </w:t>
      </w:r>
      <w:proofErr w:type="spellStart"/>
      <w:r>
        <w:t>Евсевия</w:t>
      </w:r>
      <w:proofErr w:type="spellEnd"/>
      <w:r>
        <w:t xml:space="preserve"> Кесарийского (вторая пол.</w:t>
      </w:r>
      <w:proofErr w:type="gramEnd"/>
      <w:r>
        <w:t xml:space="preserve"> II – первая пол. </w:t>
      </w:r>
      <w:proofErr w:type="gramStart"/>
      <w:r>
        <w:t>IV в.)</w:t>
      </w:r>
      <w:proofErr w:type="gram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8.2.4. </w:t>
      </w:r>
      <w:proofErr w:type="gramStart"/>
      <w:r>
        <w:t>Заключительный период (вторая пол.</w:t>
      </w:r>
      <w:proofErr w:type="gramEnd"/>
      <w:r>
        <w:t xml:space="preserve"> </w:t>
      </w:r>
      <w:proofErr w:type="gramStart"/>
      <w:r>
        <w:t>IV-V в.)</w:t>
      </w:r>
      <w:proofErr w:type="gram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8.2.5. Заключение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8.2.6. Выводы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lastRenderedPageBreak/>
        <w:t>9.Текстология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9.1. Краткий очерк новозаветной палеографии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9.3. Некоторые выводы из текстологических исследований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9.4. Издания греческого текста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9.5. Древние переводы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9.6. Славянский перевод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9.7. Русский перевод Нового Завета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 Церковное предание о происхождении Евангелий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10.1. Евангелие от Матфея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10.1.1. Сведения о евангелисте Матфее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10.1.2. Церковная традиция и мнение библейской критики о создании Евангелия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10.2. Евангелие от Марка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10.2.1. Сведения об апостоле Марке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10.1.2. Церковная традиция и мнение библейской критики о создании Евангелия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10.3. Евангелие от Луки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10.3.1. Сведения об апостоле Луке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10.3.2. Церковная традиция и мнение библейской критики о создании Евангелия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10.4. Евангелие от Иоанна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10.4.1. Сведения об апостоле Иоанне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10.4.2. Церковная традиция и мнение библейской критики о создании Евангелия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11.Синоптическая проблема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11.1. Сходство между синоптическими Евангелиями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11.2. Различия между синоптическими Евангелиями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11.3. Определение понятия «синоптическая проблема»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11.4. Церковная традиция о соотношении синоптических Евангелий</w:t>
      </w:r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11.5.1.Достоинства гипотезы </w:t>
      </w:r>
      <w:proofErr w:type="spellStart"/>
      <w:r>
        <w:t>Грисбаха</w:t>
      </w:r>
      <w:proofErr w:type="spell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 xml:space="preserve">11.5.2. Недостатки гипотезы </w:t>
      </w:r>
      <w:proofErr w:type="spellStart"/>
      <w:r>
        <w:t>Грисбаха</w:t>
      </w:r>
      <w:proofErr w:type="spellEnd"/>
    </w:p>
    <w:p w:rsidR="00761C4F" w:rsidRDefault="00761C4F" w:rsidP="002F37C8">
      <w:pPr>
        <w:spacing w:after="0" w:line="240" w:lineRule="auto"/>
        <w:ind w:left="567" w:hanging="567"/>
        <w:jc w:val="both"/>
      </w:pPr>
      <w:r>
        <w:t>11.5.3. Достоинства гипотезы двух источников</w:t>
      </w:r>
    </w:p>
    <w:p w:rsidR="009C2AB1" w:rsidRDefault="00761C4F" w:rsidP="002F37C8">
      <w:pPr>
        <w:spacing w:after="0" w:line="240" w:lineRule="auto"/>
        <w:ind w:left="567" w:hanging="567"/>
        <w:jc w:val="both"/>
      </w:pPr>
      <w:r>
        <w:t>11.5.4. Недостатки гипотезы двух источников</w:t>
      </w:r>
      <w:r w:rsidR="00000016">
        <w:t>.</w:t>
      </w: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27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AE2406" w:rsidRDefault="00C24101" w:rsidP="003B233D">
      <w:hyperlink r:id="rId7" w:anchor="0_78" w:history="1">
        <w:r w:rsidR="009C2AB1" w:rsidRPr="00EF6C75">
          <w:rPr>
            <w:rStyle w:val="a5"/>
          </w:rPr>
          <w:t>https://azbyka.ru/otechnik/Biblia/vvedenie-v-chetveroevangelie/#0_78</w:t>
        </w:r>
      </w:hyperlink>
    </w:p>
    <w:p w:rsidR="009C2AB1" w:rsidRDefault="00C24101" w:rsidP="003B233D">
      <w:hyperlink r:id="rId8" w:history="1">
        <w:r w:rsidR="009C2AB1" w:rsidRPr="00EF6C75">
          <w:rPr>
            <w:rStyle w:val="a5"/>
          </w:rPr>
          <w:t>https://azbyka.ru/otechnik/Biblia/vvedenie-v-novyj-zavet-karavidopulus/</w:t>
        </w:r>
      </w:hyperlink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bookmarkStart w:id="0" w:name="_GoBack"/>
      <w:bookmarkEnd w:id="0"/>
      <w:r w:rsidRPr="00467DEA">
        <w:rPr>
          <w:szCs w:val="28"/>
        </w:rPr>
        <w:pict>
          <v:rect id="_x0000_i1028" style="width:467.75pt;height:1.5pt" o:hralign="center" o:hrstd="t" o:hr="t" fillcolor="#a0a0a0" stroked="f"/>
        </w:pict>
      </w:r>
    </w:p>
    <w:p w:rsidR="00000016" w:rsidRPr="002F37C8" w:rsidRDefault="00000016" w:rsidP="009C2AB1">
      <w:pPr>
        <w:jc w:val="center"/>
      </w:pPr>
      <w:r w:rsidRPr="002F37C8">
        <w:t>Практическая часть</w:t>
      </w: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29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0A108F" w:rsidRDefault="00761C4F" w:rsidP="00761C4F">
      <w:pPr>
        <w:ind w:firstLine="708"/>
        <w:jc w:val="both"/>
      </w:pPr>
      <w:r>
        <w:t>Прочитать литературу.</w:t>
      </w:r>
    </w:p>
    <w:p w:rsidR="00761C4F" w:rsidRPr="003B233D" w:rsidRDefault="00761C4F" w:rsidP="00761C4F">
      <w:pPr>
        <w:ind w:firstLine="708"/>
        <w:jc w:val="both"/>
      </w:pPr>
      <w:r>
        <w:lastRenderedPageBreak/>
        <w:t>Написать конспект.</w:t>
      </w: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30" style="width:467.75pt;height:1.5pt" o:hralign="center" o:hrstd="t" o:hr="t" fillcolor="#a0a0a0" stroked="f"/>
        </w:pict>
      </w:r>
    </w:p>
    <w:p w:rsidR="00000016" w:rsidRDefault="00000016" w:rsidP="00000016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000016" w:rsidRPr="003B233D" w:rsidRDefault="003F08D8" w:rsidP="003B233D">
      <w:pPr>
        <w:ind w:firstLine="708"/>
      </w:pPr>
      <w:r w:rsidRPr="003B233D">
        <w:t>Проверка конспекта.</w:t>
      </w:r>
    </w:p>
    <w:p w:rsidR="002F37C8" w:rsidRDefault="002F37C8" w:rsidP="002F37C8">
      <w:pPr>
        <w:spacing w:after="0" w:line="276" w:lineRule="auto"/>
        <w:contextualSpacing/>
        <w:jc w:val="center"/>
        <w:rPr>
          <w:szCs w:val="28"/>
        </w:rPr>
      </w:pPr>
      <w:r w:rsidRPr="00467DEA">
        <w:rPr>
          <w:szCs w:val="28"/>
        </w:rPr>
        <w:pict>
          <v:rect id="_x0000_i1031" style="width:467.75pt;height:1.5pt" o:hralign="center" o:hrstd="t" o:hr="t" fillcolor="#a0a0a0" stroked="f"/>
        </w:pict>
      </w:r>
    </w:p>
    <w:p w:rsidR="00000016" w:rsidRPr="002F37C8" w:rsidRDefault="00000016" w:rsidP="002F37C8">
      <w:pPr>
        <w:jc w:val="center"/>
      </w:pPr>
      <w:r w:rsidRPr="002F37C8">
        <w:t>Сроки отчетности</w:t>
      </w:r>
    </w:p>
    <w:p w:rsidR="00000016" w:rsidRPr="002F37C8" w:rsidRDefault="002F37C8" w:rsidP="00000016">
      <w:pPr>
        <w:jc w:val="center"/>
        <w:rPr>
          <w:b/>
          <w:color w:val="FF0000"/>
        </w:rPr>
      </w:pPr>
      <w:r w:rsidRPr="002F37C8">
        <w:rPr>
          <w:b/>
          <w:color w:val="FF0000"/>
        </w:rPr>
        <w:t xml:space="preserve">Внимание! </w:t>
      </w:r>
      <w:r w:rsidR="00000016" w:rsidRPr="002F37C8">
        <w:rPr>
          <w:b/>
          <w:color w:val="FF0000"/>
        </w:rPr>
        <w:t>Задание должно быть выполнено до</w:t>
      </w:r>
      <w:r w:rsidR="00DA6F6D" w:rsidRPr="002F37C8">
        <w:rPr>
          <w:b/>
          <w:color w:val="FF0000"/>
        </w:rPr>
        <w:t xml:space="preserve"> </w:t>
      </w:r>
      <w:r w:rsidRPr="002F37C8">
        <w:rPr>
          <w:b/>
          <w:color w:val="FF0000"/>
        </w:rPr>
        <w:t>09.05.</w:t>
      </w:r>
      <w:r w:rsidR="00DA6F6D" w:rsidRPr="002F37C8">
        <w:rPr>
          <w:b/>
          <w:color w:val="FF0000"/>
        </w:rPr>
        <w:t xml:space="preserve"> 2020 г.</w:t>
      </w:r>
    </w:p>
    <w:p w:rsidR="00FB0FD2" w:rsidRDefault="00FB0FD2" w:rsidP="00000016">
      <w:pPr>
        <w:jc w:val="center"/>
      </w:pPr>
    </w:p>
    <w:p w:rsidR="00FB0FD2" w:rsidRDefault="00FB0FD2">
      <w:pPr>
        <w:spacing w:after="200" w:line="276" w:lineRule="auto"/>
      </w:pPr>
    </w:p>
    <w:sectPr w:rsidR="00FB0FD2" w:rsidSect="00000016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C81" w:rsidRDefault="00C06C81" w:rsidP="00000016">
      <w:pPr>
        <w:spacing w:after="0" w:line="240" w:lineRule="auto"/>
      </w:pPr>
      <w:r>
        <w:separator/>
      </w:r>
    </w:p>
  </w:endnote>
  <w:endnote w:type="continuationSeparator" w:id="0">
    <w:p w:rsidR="00C06C81" w:rsidRDefault="00C06C81" w:rsidP="00000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C81" w:rsidRDefault="00C06C81" w:rsidP="00000016">
      <w:pPr>
        <w:spacing w:after="0" w:line="240" w:lineRule="auto"/>
      </w:pPr>
      <w:r>
        <w:separator/>
      </w:r>
    </w:p>
  </w:footnote>
  <w:footnote w:type="continuationSeparator" w:id="0">
    <w:p w:rsidR="00C06C81" w:rsidRDefault="00C06C81" w:rsidP="00000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16" w:rsidRDefault="000000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122"/>
    <w:multiLevelType w:val="hybridMultilevel"/>
    <w:tmpl w:val="59A44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A4B4B"/>
    <w:multiLevelType w:val="hybridMultilevel"/>
    <w:tmpl w:val="34120898"/>
    <w:lvl w:ilvl="0" w:tplc="EAC06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C1363"/>
    <w:multiLevelType w:val="hybridMultilevel"/>
    <w:tmpl w:val="AEA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CC7"/>
    <w:rsid w:val="00000016"/>
    <w:rsid w:val="00014872"/>
    <w:rsid w:val="0009638A"/>
    <w:rsid w:val="000A108F"/>
    <w:rsid w:val="000F4AF5"/>
    <w:rsid w:val="001E60F9"/>
    <w:rsid w:val="002162AC"/>
    <w:rsid w:val="00220028"/>
    <w:rsid w:val="00280FDC"/>
    <w:rsid w:val="002F37C8"/>
    <w:rsid w:val="003B233D"/>
    <w:rsid w:val="003F08D8"/>
    <w:rsid w:val="0040566F"/>
    <w:rsid w:val="004A752D"/>
    <w:rsid w:val="004F7A09"/>
    <w:rsid w:val="005308D0"/>
    <w:rsid w:val="00547EF2"/>
    <w:rsid w:val="00556CC7"/>
    <w:rsid w:val="005A4762"/>
    <w:rsid w:val="005B6AE1"/>
    <w:rsid w:val="00660731"/>
    <w:rsid w:val="006C33E9"/>
    <w:rsid w:val="006F7238"/>
    <w:rsid w:val="00747E65"/>
    <w:rsid w:val="00761C4F"/>
    <w:rsid w:val="00792BE9"/>
    <w:rsid w:val="0084336E"/>
    <w:rsid w:val="008F31A7"/>
    <w:rsid w:val="009A0C37"/>
    <w:rsid w:val="009C2AB1"/>
    <w:rsid w:val="009F5B27"/>
    <w:rsid w:val="00A10045"/>
    <w:rsid w:val="00A45C59"/>
    <w:rsid w:val="00AA324E"/>
    <w:rsid w:val="00AB209E"/>
    <w:rsid w:val="00AE2406"/>
    <w:rsid w:val="00AE5E53"/>
    <w:rsid w:val="00C06C81"/>
    <w:rsid w:val="00C24101"/>
    <w:rsid w:val="00CA0954"/>
    <w:rsid w:val="00DA6F6D"/>
    <w:rsid w:val="00DA7EF0"/>
    <w:rsid w:val="00DC106E"/>
    <w:rsid w:val="00DD1E7A"/>
    <w:rsid w:val="00E00DEF"/>
    <w:rsid w:val="00EC2CB4"/>
    <w:rsid w:val="00EC6206"/>
    <w:rsid w:val="00EC727F"/>
    <w:rsid w:val="00F8603A"/>
    <w:rsid w:val="00FB0FD2"/>
    <w:rsid w:val="00FC15F3"/>
    <w:rsid w:val="00FC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016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016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00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0001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016"/>
    <w:rPr>
      <w:rFonts w:ascii="Times New Roman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000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016"/>
    <w:rPr>
      <w:rFonts w:ascii="Times New Roman" w:hAnsi="Times New Roman" w:cs="Times New Roman"/>
      <w:sz w:val="28"/>
      <w:szCs w:val="24"/>
    </w:rPr>
  </w:style>
  <w:style w:type="character" w:styleId="aa">
    <w:name w:val="FollowedHyperlink"/>
    <w:basedOn w:val="a0"/>
    <w:uiPriority w:val="99"/>
    <w:semiHidden/>
    <w:unhideWhenUsed/>
    <w:rsid w:val="00EC2C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Biblia/vvedenie-v-novyj-zavet-karavidopul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yka.ru/otechnik/Biblia/vvedenie-v-chetveroevangeli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Викин</dc:creator>
  <cp:lastModifiedBy>User</cp:lastModifiedBy>
  <cp:revision>4</cp:revision>
  <dcterms:created xsi:type="dcterms:W3CDTF">2020-05-14T15:50:00Z</dcterms:created>
  <dcterms:modified xsi:type="dcterms:W3CDTF">2020-05-14T23:21:00Z</dcterms:modified>
</cp:coreProperties>
</file>