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1263EF">
            <w:pPr>
              <w:spacing w:line="240" w:lineRule="auto"/>
              <w:ind w:firstLine="22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1263EF">
            <w:pPr>
              <w:spacing w:line="240" w:lineRule="auto"/>
              <w:ind w:firstLine="22"/>
              <w:rPr>
                <w:szCs w:val="28"/>
              </w:rPr>
            </w:pPr>
            <w:r w:rsidRPr="00DE7B93">
              <w:rPr>
                <w:szCs w:val="28"/>
              </w:rPr>
              <w:t>Литургика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1263EF">
            <w:pPr>
              <w:spacing w:line="240" w:lineRule="auto"/>
              <w:ind w:firstLine="22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1263EF">
            <w:pPr>
              <w:spacing w:line="240" w:lineRule="auto"/>
              <w:ind w:firstLine="22"/>
              <w:rPr>
                <w:szCs w:val="28"/>
              </w:rPr>
            </w:pPr>
            <w:r w:rsidRPr="00DE7B93">
              <w:rPr>
                <w:szCs w:val="28"/>
              </w:rPr>
              <w:t>иерей Сергий Зяблицкий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1263EF">
            <w:pPr>
              <w:spacing w:line="240" w:lineRule="auto"/>
              <w:ind w:firstLine="22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1263EF" w:rsidRPr="00DE7B93" w:rsidRDefault="001263EF" w:rsidP="001263EF">
            <w:pPr>
              <w:spacing w:line="240" w:lineRule="auto"/>
              <w:ind w:firstLine="22"/>
              <w:rPr>
                <w:szCs w:val="28"/>
              </w:rPr>
            </w:pPr>
            <w:hyperlink r:id="rId5" w:history="1">
              <w:r w:rsidRPr="00F6497D">
                <w:rPr>
                  <w:rStyle w:val="a6"/>
                  <w:szCs w:val="28"/>
                </w:rPr>
                <w:t>priest.sergy@gmail.com</w:t>
              </w:r>
            </w:hyperlink>
            <w:bookmarkStart w:id="0" w:name="_GoBack"/>
            <w:bookmarkEnd w:id="0"/>
          </w:p>
        </w:tc>
      </w:tr>
    </w:tbl>
    <w:p w:rsidR="001263EF" w:rsidRPr="000B44E6" w:rsidRDefault="001263EF" w:rsidP="001263EF">
      <w:pPr>
        <w:ind w:firstLine="0"/>
        <w:rPr>
          <w:i/>
          <w:szCs w:val="28"/>
        </w:rPr>
      </w:pPr>
      <w:r>
        <w:rPr>
          <w:b/>
          <w:noProof/>
          <w:szCs w:val="28"/>
        </w:rPr>
        <w:pict>
          <v:rect id="_x0000_i1139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DE7B93" w:rsidRDefault="00B178E5" w:rsidP="001263EF">
      <w:pPr>
        <w:spacing w:before="120"/>
        <w:ind w:firstLine="0"/>
        <w:jc w:val="center"/>
        <w:rPr>
          <w:i/>
          <w:szCs w:val="28"/>
        </w:rPr>
      </w:pPr>
      <w:r w:rsidRPr="00DE7B93">
        <w:rPr>
          <w:i/>
          <w:szCs w:val="28"/>
        </w:rPr>
        <w:t>Теоретическая часть:</w:t>
      </w:r>
    </w:p>
    <w:p w:rsidR="00F20C2D" w:rsidRPr="000B44E6" w:rsidRDefault="001263EF" w:rsidP="001263EF">
      <w:pPr>
        <w:ind w:firstLine="0"/>
        <w:rPr>
          <w:i/>
          <w:szCs w:val="28"/>
        </w:rPr>
      </w:pPr>
      <w:r>
        <w:rPr>
          <w:b/>
          <w:noProof/>
          <w:szCs w:val="28"/>
        </w:rPr>
        <w:pict w14:anchorId="16A26BE7">
          <v:rect id="_x0000_i1133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DE7B93" w:rsidRDefault="00B178E5" w:rsidP="001263EF">
      <w:pPr>
        <w:ind w:firstLine="0"/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Литература к теме:</w:t>
      </w:r>
    </w:p>
    <w:p w:rsidR="00F20C2D" w:rsidRPr="00DE7B93" w:rsidRDefault="00F20C2D" w:rsidP="001263EF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ind w:left="284" w:hanging="284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Литургика: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DE7B93" w:rsidRDefault="00F20C2D" w:rsidP="001263EF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ind w:left="284" w:hanging="284"/>
        <w:rPr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руководство для клириков и мирян. – СПб.: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>, 2011.</w:t>
      </w:r>
    </w:p>
    <w:p w:rsidR="00F20C2D" w:rsidRPr="00DE7B93" w:rsidRDefault="00F20C2D" w:rsidP="001263EF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ind w:left="284" w:hanging="284"/>
        <w:rPr>
          <w:szCs w:val="28"/>
        </w:rPr>
      </w:pPr>
      <w:r w:rsidRPr="00DE7B93">
        <w:rPr>
          <w:szCs w:val="28"/>
        </w:rPr>
        <w:t xml:space="preserve">Розанов В. Богослужебный устав Православной Церкви. </w:t>
      </w:r>
      <w:r w:rsidRPr="00DE7B93">
        <w:rPr>
          <w:rFonts w:eastAsia="Times New Roman" w:cs="Times New Roman"/>
          <w:szCs w:val="28"/>
          <w:lang w:eastAsia="ar-SA"/>
        </w:rPr>
        <w:t>–</w:t>
      </w:r>
      <w:r w:rsidRPr="00DE7B93">
        <w:rPr>
          <w:szCs w:val="28"/>
        </w:rPr>
        <w:t xml:space="preserve"> М., 1902.</w:t>
      </w:r>
    </w:p>
    <w:p w:rsidR="001263EF" w:rsidRPr="000B44E6" w:rsidRDefault="001263EF" w:rsidP="001263EF">
      <w:pPr>
        <w:ind w:firstLine="0"/>
        <w:rPr>
          <w:i/>
          <w:szCs w:val="28"/>
        </w:rPr>
      </w:pPr>
      <w:r>
        <w:rPr>
          <w:b/>
          <w:noProof/>
          <w:szCs w:val="28"/>
        </w:rPr>
        <w:pict>
          <v:rect id="_x0000_i1140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DE7B93" w:rsidRDefault="00B178E5" w:rsidP="001263EF">
      <w:pPr>
        <w:ind w:firstLine="0"/>
        <w:jc w:val="center"/>
        <w:rPr>
          <w:szCs w:val="28"/>
          <w:u w:val="single"/>
        </w:rPr>
      </w:pPr>
      <w:proofErr w:type="spellStart"/>
      <w:r w:rsidRPr="00DE7B93">
        <w:rPr>
          <w:szCs w:val="28"/>
          <w:u w:val="single"/>
        </w:rPr>
        <w:t>Видеолекци</w:t>
      </w:r>
      <w:r w:rsidR="002110B8">
        <w:rPr>
          <w:szCs w:val="28"/>
          <w:u w:val="single"/>
        </w:rPr>
        <w:t>и</w:t>
      </w:r>
      <w:proofErr w:type="spellEnd"/>
      <w:r w:rsidR="00DF0D65" w:rsidRPr="00DE7B93">
        <w:rPr>
          <w:szCs w:val="28"/>
          <w:u w:val="single"/>
        </w:rPr>
        <w:t>:</w:t>
      </w:r>
    </w:p>
    <w:p w:rsidR="00CA3E8A" w:rsidRDefault="00CA3E8A" w:rsidP="001263EF">
      <w:pPr>
        <w:ind w:firstLine="567"/>
        <w:rPr>
          <w:szCs w:val="28"/>
          <w:u w:val="single"/>
        </w:rPr>
      </w:pPr>
      <w:proofErr w:type="spellStart"/>
      <w:r w:rsidRPr="00DE7B93">
        <w:rPr>
          <w:szCs w:val="28"/>
        </w:rPr>
        <w:t>Видеолекция</w:t>
      </w:r>
      <w:proofErr w:type="spellEnd"/>
      <w:r w:rsidRPr="00DE7B93">
        <w:rPr>
          <w:szCs w:val="28"/>
        </w:rPr>
        <w:t xml:space="preserve"> </w:t>
      </w:r>
      <w:proofErr w:type="spellStart"/>
      <w:r w:rsidRPr="00DE7B93">
        <w:rPr>
          <w:szCs w:val="28"/>
        </w:rPr>
        <w:t>прот</w:t>
      </w:r>
      <w:proofErr w:type="spellEnd"/>
      <w:r w:rsidRPr="00DE7B93">
        <w:rPr>
          <w:szCs w:val="28"/>
        </w:rPr>
        <w:t xml:space="preserve">. Виталия Грищука, кандидата богословия, доцента Санкт-Петербургской духовной академии «Литургия </w:t>
      </w:r>
      <w:proofErr w:type="spellStart"/>
      <w:r w:rsidRPr="00DE7B93">
        <w:rPr>
          <w:szCs w:val="28"/>
        </w:rPr>
        <w:t>свт</w:t>
      </w:r>
      <w:proofErr w:type="spellEnd"/>
      <w:r w:rsidRPr="00DE7B93">
        <w:rPr>
          <w:szCs w:val="28"/>
        </w:rPr>
        <w:t xml:space="preserve">. Иоанна Златоуста. </w:t>
      </w:r>
      <w:r>
        <w:rPr>
          <w:szCs w:val="28"/>
        </w:rPr>
        <w:t xml:space="preserve">Часть </w:t>
      </w:r>
      <w:r w:rsidRPr="00DE7B93">
        <w:rPr>
          <w:szCs w:val="28"/>
        </w:rPr>
        <w:t>1. От начала до малого входа» (</w:t>
      </w:r>
      <w:hyperlink r:id="rId6" w:history="1">
        <w:r w:rsidRPr="00DE7B93">
          <w:rPr>
            <w:rStyle w:val="a6"/>
            <w:szCs w:val="28"/>
          </w:rPr>
          <w:t>https://youtu.be/kYbqqpvgWD0</w:t>
        </w:r>
      </w:hyperlink>
      <w:r w:rsidRPr="00DE7B93">
        <w:rPr>
          <w:szCs w:val="28"/>
          <w:u w:val="single"/>
        </w:rPr>
        <w:t>)</w:t>
      </w:r>
      <w:r>
        <w:rPr>
          <w:szCs w:val="28"/>
          <w:u w:val="single"/>
        </w:rPr>
        <w:t xml:space="preserve"> /</w:t>
      </w:r>
    </w:p>
    <w:p w:rsidR="00CA3E8A" w:rsidRPr="00DE7B93" w:rsidRDefault="00CA3E8A" w:rsidP="001263EF">
      <w:pPr>
        <w:ind w:firstLine="567"/>
        <w:rPr>
          <w:szCs w:val="28"/>
        </w:rPr>
      </w:pPr>
      <w:r w:rsidRPr="00DE7B93">
        <w:rPr>
          <w:szCs w:val="28"/>
        </w:rPr>
        <w:t xml:space="preserve">Литургия </w:t>
      </w:r>
      <w:proofErr w:type="spellStart"/>
      <w:r w:rsidRPr="00DE7B93">
        <w:rPr>
          <w:szCs w:val="28"/>
        </w:rPr>
        <w:t>свт</w:t>
      </w:r>
      <w:proofErr w:type="spellEnd"/>
      <w:r w:rsidRPr="00DE7B93">
        <w:rPr>
          <w:szCs w:val="28"/>
        </w:rPr>
        <w:t xml:space="preserve">. Иоанна Златоуста. </w:t>
      </w:r>
      <w:r w:rsidRPr="006526FF">
        <w:rPr>
          <w:szCs w:val="28"/>
        </w:rPr>
        <w:t>Часть</w:t>
      </w:r>
      <w:r>
        <w:rPr>
          <w:szCs w:val="28"/>
        </w:rPr>
        <w:t xml:space="preserve"> </w:t>
      </w:r>
      <w:r w:rsidRPr="006526FF">
        <w:rPr>
          <w:szCs w:val="28"/>
        </w:rPr>
        <w:t>2. От "</w:t>
      </w:r>
      <w:proofErr w:type="spellStart"/>
      <w:r w:rsidRPr="006526FF">
        <w:rPr>
          <w:szCs w:val="28"/>
        </w:rPr>
        <w:t>Трисвятого</w:t>
      </w:r>
      <w:proofErr w:type="spellEnd"/>
      <w:r w:rsidRPr="006526FF">
        <w:rPr>
          <w:szCs w:val="28"/>
        </w:rPr>
        <w:t>" до молитвы об оглашенных</w:t>
      </w:r>
      <w:r>
        <w:rPr>
          <w:szCs w:val="28"/>
          <w:u w:val="single"/>
        </w:rPr>
        <w:t xml:space="preserve"> (</w:t>
      </w:r>
      <w:hyperlink r:id="rId7" w:history="1">
        <w:r w:rsidRPr="003067C6">
          <w:rPr>
            <w:rStyle w:val="a6"/>
            <w:szCs w:val="28"/>
          </w:rPr>
          <w:t>https://www.youtube.com/watch?v=ZC6clQGEItA&amp;t=98s</w:t>
        </w:r>
      </w:hyperlink>
      <w:r>
        <w:rPr>
          <w:szCs w:val="28"/>
          <w:u w:val="single"/>
        </w:rPr>
        <w:t xml:space="preserve">) </w:t>
      </w:r>
    </w:p>
    <w:p w:rsidR="001263EF" w:rsidRPr="000B44E6" w:rsidRDefault="001263EF" w:rsidP="001263EF">
      <w:pPr>
        <w:ind w:firstLine="0"/>
        <w:rPr>
          <w:i/>
          <w:szCs w:val="28"/>
        </w:rPr>
      </w:pPr>
      <w:r>
        <w:rPr>
          <w:b/>
          <w:noProof/>
          <w:szCs w:val="28"/>
        </w:rPr>
        <w:pict>
          <v:rect id="_x0000_i1141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DE7B93" w:rsidRDefault="00B178E5" w:rsidP="001263EF">
      <w:pPr>
        <w:ind w:firstLine="0"/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Вопросы для самопроверки:</w:t>
      </w:r>
    </w:p>
    <w:p w:rsidR="00CA3E8A" w:rsidRDefault="00CA3E8A" w:rsidP="001263EF">
      <w:pPr>
        <w:pStyle w:val="a7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CA3E8A">
        <w:rPr>
          <w:b/>
          <w:bCs/>
          <w:i/>
          <w:iCs/>
          <w:szCs w:val="28"/>
        </w:rPr>
        <w:t>Литургия оглашенных.</w:t>
      </w:r>
      <w:r w:rsidRPr="00CA3E8A">
        <w:rPr>
          <w:szCs w:val="28"/>
        </w:rPr>
        <w:t xml:space="preserve"> Начало литургии оглашенных. Начальный возглас священника; великая </w:t>
      </w:r>
      <w:proofErr w:type="spellStart"/>
      <w:r w:rsidRPr="00CA3E8A">
        <w:rPr>
          <w:szCs w:val="28"/>
        </w:rPr>
        <w:t>ектения</w:t>
      </w:r>
      <w:proofErr w:type="spellEnd"/>
      <w:r w:rsidRPr="00CA3E8A">
        <w:rPr>
          <w:szCs w:val="28"/>
        </w:rPr>
        <w:t xml:space="preserve">; антифоны. Общие понятия. Устав о пении антифонов за Божественной Литургией. Малый вход. Устав о пении тропарей на Литургии по Малом входе. </w:t>
      </w:r>
      <w:proofErr w:type="spellStart"/>
      <w:r w:rsidRPr="00CA3E8A">
        <w:rPr>
          <w:szCs w:val="28"/>
        </w:rPr>
        <w:t>Чинопоследование</w:t>
      </w:r>
      <w:proofErr w:type="spellEnd"/>
      <w:r w:rsidRPr="00CA3E8A">
        <w:rPr>
          <w:szCs w:val="28"/>
        </w:rPr>
        <w:t xml:space="preserve"> Литургии от Малого входа до чтения Апостола. Чтение Апостола и Евангелия. </w:t>
      </w:r>
      <w:proofErr w:type="spellStart"/>
      <w:r w:rsidRPr="00CA3E8A">
        <w:rPr>
          <w:szCs w:val="28"/>
        </w:rPr>
        <w:t>Чинопоследование</w:t>
      </w:r>
      <w:proofErr w:type="spellEnd"/>
      <w:r w:rsidRPr="00CA3E8A">
        <w:rPr>
          <w:szCs w:val="28"/>
        </w:rPr>
        <w:t xml:space="preserve"> Литургии оглашенных от сугубой </w:t>
      </w:r>
      <w:proofErr w:type="spellStart"/>
      <w:r w:rsidRPr="00CA3E8A">
        <w:rPr>
          <w:szCs w:val="28"/>
        </w:rPr>
        <w:t>ектении</w:t>
      </w:r>
      <w:proofErr w:type="spellEnd"/>
      <w:r w:rsidRPr="00CA3E8A">
        <w:rPr>
          <w:szCs w:val="28"/>
        </w:rPr>
        <w:t xml:space="preserve"> до Литургии верных.</w:t>
      </w:r>
    </w:p>
    <w:p w:rsidR="00CA3E8A" w:rsidRDefault="00CA3E8A" w:rsidP="001263EF">
      <w:pPr>
        <w:pStyle w:val="a7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CA3E8A">
        <w:rPr>
          <w:b/>
          <w:bCs/>
          <w:i/>
          <w:iCs/>
          <w:szCs w:val="28"/>
        </w:rPr>
        <w:t>Литургия верных.</w:t>
      </w:r>
      <w:r w:rsidRPr="00CA3E8A">
        <w:rPr>
          <w:szCs w:val="28"/>
        </w:rPr>
        <w:t xml:space="preserve"> Понятие о литургии верных. </w:t>
      </w:r>
      <w:proofErr w:type="spellStart"/>
      <w:r w:rsidRPr="00CA3E8A">
        <w:rPr>
          <w:szCs w:val="28"/>
        </w:rPr>
        <w:t>Чинопоследование</w:t>
      </w:r>
      <w:proofErr w:type="spellEnd"/>
      <w:r w:rsidRPr="00CA3E8A">
        <w:rPr>
          <w:szCs w:val="28"/>
        </w:rPr>
        <w:t xml:space="preserve"> Литургии верных до Великого входа. Общие понятия. </w:t>
      </w:r>
      <w:r w:rsidRPr="00CA3E8A">
        <w:rPr>
          <w:szCs w:val="28"/>
        </w:rPr>
        <w:lastRenderedPageBreak/>
        <w:t xml:space="preserve">Великий вход. Порядок его совершения. </w:t>
      </w:r>
      <w:proofErr w:type="spellStart"/>
      <w:r w:rsidRPr="00CA3E8A">
        <w:rPr>
          <w:szCs w:val="28"/>
        </w:rPr>
        <w:t>Чинопоследование</w:t>
      </w:r>
      <w:proofErr w:type="spellEnd"/>
      <w:r w:rsidRPr="00CA3E8A">
        <w:rPr>
          <w:szCs w:val="28"/>
        </w:rPr>
        <w:t xml:space="preserve"> Литургии от «Исполним молитву…» до Евхаристической молитвы.</w:t>
      </w:r>
    </w:p>
    <w:p w:rsidR="00CA3E8A" w:rsidRDefault="00CA3E8A" w:rsidP="001263EF">
      <w:pPr>
        <w:pStyle w:val="a7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CA3E8A">
        <w:rPr>
          <w:b/>
          <w:bCs/>
          <w:i/>
          <w:iCs/>
          <w:szCs w:val="28"/>
        </w:rPr>
        <w:t>Анафора.</w:t>
      </w:r>
      <w:r w:rsidRPr="00CA3E8A">
        <w:rPr>
          <w:szCs w:val="28"/>
        </w:rPr>
        <w:t xml:space="preserve"> Составные части евхаристической молитвы. Вступительный</w:t>
      </w:r>
      <w:r w:rsidRPr="00CA3E8A">
        <w:rPr>
          <w:szCs w:val="28"/>
          <w:lang w:val="en-US"/>
        </w:rPr>
        <w:t xml:space="preserve"> </w:t>
      </w:r>
      <w:r w:rsidRPr="00CA3E8A">
        <w:rPr>
          <w:szCs w:val="28"/>
        </w:rPr>
        <w:t>диалог</w:t>
      </w:r>
      <w:r w:rsidRPr="00CA3E8A">
        <w:rPr>
          <w:szCs w:val="28"/>
          <w:lang w:val="en-US"/>
        </w:rPr>
        <w:t xml:space="preserve">. </w:t>
      </w:r>
      <w:proofErr w:type="spellStart"/>
      <w:r w:rsidRPr="00CA3E8A">
        <w:rPr>
          <w:szCs w:val="28"/>
          <w:lang w:val="en-US"/>
        </w:rPr>
        <w:t>Praefatio</w:t>
      </w:r>
      <w:proofErr w:type="spellEnd"/>
      <w:r w:rsidRPr="00CA3E8A">
        <w:rPr>
          <w:szCs w:val="28"/>
          <w:lang w:val="en-US"/>
        </w:rPr>
        <w:t xml:space="preserve">. Sanctus. </w:t>
      </w:r>
      <w:proofErr w:type="spellStart"/>
      <w:r w:rsidRPr="00CA3E8A">
        <w:rPr>
          <w:szCs w:val="28"/>
          <w:lang w:val="en-US"/>
        </w:rPr>
        <w:t>Institutio</w:t>
      </w:r>
      <w:proofErr w:type="spellEnd"/>
      <w:r w:rsidRPr="00CA3E8A">
        <w:rPr>
          <w:szCs w:val="28"/>
          <w:lang w:val="en-US"/>
        </w:rPr>
        <w:t xml:space="preserve">. </w:t>
      </w:r>
      <w:proofErr w:type="spellStart"/>
      <w:r w:rsidRPr="00CA3E8A">
        <w:rPr>
          <w:szCs w:val="28"/>
        </w:rPr>
        <w:t>Anamnesis</w:t>
      </w:r>
      <w:proofErr w:type="spellEnd"/>
      <w:r w:rsidRPr="00CA3E8A">
        <w:rPr>
          <w:szCs w:val="28"/>
        </w:rPr>
        <w:t xml:space="preserve">. </w:t>
      </w:r>
      <w:proofErr w:type="spellStart"/>
      <w:r w:rsidRPr="00CA3E8A">
        <w:rPr>
          <w:szCs w:val="28"/>
        </w:rPr>
        <w:t>Epiclesis</w:t>
      </w:r>
      <w:proofErr w:type="spellEnd"/>
      <w:r w:rsidRPr="00CA3E8A">
        <w:rPr>
          <w:szCs w:val="28"/>
        </w:rPr>
        <w:t xml:space="preserve">. </w:t>
      </w:r>
      <w:proofErr w:type="spellStart"/>
      <w:r w:rsidRPr="00CA3E8A">
        <w:rPr>
          <w:szCs w:val="28"/>
        </w:rPr>
        <w:t>Intercessio</w:t>
      </w:r>
      <w:proofErr w:type="spellEnd"/>
      <w:r w:rsidRPr="00CA3E8A">
        <w:rPr>
          <w:szCs w:val="28"/>
        </w:rPr>
        <w:t xml:space="preserve">. Окончание евхаристической молитвы. Особенности при служении литургии </w:t>
      </w:r>
      <w:proofErr w:type="spellStart"/>
      <w:r w:rsidRPr="00CA3E8A">
        <w:rPr>
          <w:szCs w:val="28"/>
        </w:rPr>
        <w:t>свт</w:t>
      </w:r>
      <w:proofErr w:type="spellEnd"/>
      <w:r w:rsidRPr="00CA3E8A">
        <w:rPr>
          <w:szCs w:val="28"/>
        </w:rPr>
        <w:t xml:space="preserve">. Иоанна Златоуста. Особенности при служении литургии </w:t>
      </w:r>
      <w:proofErr w:type="spellStart"/>
      <w:r w:rsidRPr="00CA3E8A">
        <w:rPr>
          <w:szCs w:val="28"/>
        </w:rPr>
        <w:t>свт</w:t>
      </w:r>
      <w:proofErr w:type="spellEnd"/>
      <w:r w:rsidRPr="00CA3E8A">
        <w:rPr>
          <w:szCs w:val="28"/>
        </w:rPr>
        <w:t>. Василия Великого.</w:t>
      </w:r>
    </w:p>
    <w:p w:rsidR="00DE7B93" w:rsidRPr="00CA3E8A" w:rsidRDefault="00CA3E8A" w:rsidP="001263EF">
      <w:pPr>
        <w:pStyle w:val="a7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CA3E8A">
        <w:rPr>
          <w:b/>
          <w:bCs/>
          <w:i/>
          <w:iCs/>
          <w:szCs w:val="28"/>
        </w:rPr>
        <w:t>Окончание литургии верных.</w:t>
      </w:r>
      <w:r w:rsidRPr="00CA3E8A">
        <w:rPr>
          <w:szCs w:val="28"/>
        </w:rPr>
        <w:t xml:space="preserve"> </w:t>
      </w:r>
      <w:proofErr w:type="spellStart"/>
      <w:r w:rsidRPr="00CA3E8A">
        <w:rPr>
          <w:szCs w:val="28"/>
        </w:rPr>
        <w:t>Чинопоследование</w:t>
      </w:r>
      <w:proofErr w:type="spellEnd"/>
      <w:r w:rsidRPr="00CA3E8A">
        <w:rPr>
          <w:szCs w:val="28"/>
        </w:rPr>
        <w:t xml:space="preserve"> Литургии от «Достойно есть…» до конца Евхаристической молитвы. </w:t>
      </w:r>
      <w:proofErr w:type="spellStart"/>
      <w:r w:rsidRPr="00CA3E8A">
        <w:rPr>
          <w:szCs w:val="28"/>
        </w:rPr>
        <w:t>Задостойник</w:t>
      </w:r>
      <w:proofErr w:type="spellEnd"/>
      <w:r w:rsidRPr="00CA3E8A">
        <w:rPr>
          <w:szCs w:val="28"/>
        </w:rPr>
        <w:t xml:space="preserve">. </w:t>
      </w:r>
      <w:proofErr w:type="spellStart"/>
      <w:r w:rsidRPr="00CA3E8A">
        <w:rPr>
          <w:szCs w:val="28"/>
        </w:rPr>
        <w:t>Чинопоследование</w:t>
      </w:r>
      <w:proofErr w:type="spellEnd"/>
      <w:r w:rsidRPr="00CA3E8A">
        <w:rPr>
          <w:szCs w:val="28"/>
        </w:rPr>
        <w:t xml:space="preserve"> Литургии от </w:t>
      </w:r>
      <w:proofErr w:type="spellStart"/>
      <w:r w:rsidRPr="00CA3E8A">
        <w:rPr>
          <w:szCs w:val="28"/>
        </w:rPr>
        <w:t>ектении</w:t>
      </w:r>
      <w:proofErr w:type="spellEnd"/>
      <w:r w:rsidRPr="00CA3E8A">
        <w:rPr>
          <w:szCs w:val="28"/>
        </w:rPr>
        <w:t xml:space="preserve"> «Вся </w:t>
      </w:r>
      <w:proofErr w:type="spellStart"/>
      <w:r w:rsidRPr="00CA3E8A">
        <w:rPr>
          <w:szCs w:val="28"/>
        </w:rPr>
        <w:t>святыя</w:t>
      </w:r>
      <w:proofErr w:type="spellEnd"/>
      <w:r w:rsidRPr="00CA3E8A">
        <w:rPr>
          <w:szCs w:val="28"/>
        </w:rPr>
        <w:t xml:space="preserve"> помянувшее…» до причастного стиха. Причащение священнослужителей. Причащение мирян. Окончание Литургии. </w:t>
      </w:r>
      <w:proofErr w:type="spellStart"/>
      <w:r w:rsidRPr="00CA3E8A">
        <w:rPr>
          <w:szCs w:val="28"/>
        </w:rPr>
        <w:t>Отпуст</w:t>
      </w:r>
      <w:proofErr w:type="spellEnd"/>
      <w:r w:rsidRPr="00CA3E8A">
        <w:rPr>
          <w:szCs w:val="28"/>
        </w:rPr>
        <w:t xml:space="preserve"> Литургии.</w:t>
      </w:r>
    </w:p>
    <w:p w:rsidR="00B178E5" w:rsidRPr="00DE7B93" w:rsidRDefault="001263EF" w:rsidP="001263EF">
      <w:pPr>
        <w:ind w:firstLine="0"/>
        <w:rPr>
          <w:b/>
          <w:szCs w:val="28"/>
        </w:rPr>
      </w:pPr>
      <w:r>
        <w:rPr>
          <w:b/>
          <w:noProof/>
          <w:szCs w:val="28"/>
        </w:rPr>
        <w:pict w14:anchorId="0913139C">
          <v:rect id="_x0000_i1134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DE7B93" w:rsidRDefault="00B178E5" w:rsidP="001263EF">
      <w:pPr>
        <w:ind w:firstLine="0"/>
        <w:jc w:val="center"/>
        <w:rPr>
          <w:i/>
          <w:szCs w:val="28"/>
        </w:rPr>
      </w:pPr>
      <w:r w:rsidRPr="00DE7B93">
        <w:rPr>
          <w:i/>
          <w:szCs w:val="28"/>
        </w:rPr>
        <w:t>Практическая часть</w:t>
      </w:r>
    </w:p>
    <w:p w:rsidR="00B178E5" w:rsidRPr="00DE7B93" w:rsidRDefault="001263EF" w:rsidP="001263EF">
      <w:pPr>
        <w:ind w:firstLine="0"/>
        <w:rPr>
          <w:i/>
          <w:szCs w:val="28"/>
        </w:rPr>
      </w:pPr>
      <w:r>
        <w:rPr>
          <w:b/>
          <w:noProof/>
          <w:szCs w:val="28"/>
        </w:rPr>
        <w:pict w14:anchorId="36FB11E3">
          <v:rect id="_x0000_i1135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1263EF" w:rsidRDefault="00B178E5" w:rsidP="001263EF">
      <w:pPr>
        <w:ind w:firstLine="0"/>
        <w:jc w:val="center"/>
        <w:rPr>
          <w:szCs w:val="28"/>
          <w:u w:val="single"/>
        </w:rPr>
      </w:pPr>
      <w:r w:rsidRPr="001263EF">
        <w:rPr>
          <w:szCs w:val="28"/>
          <w:u w:val="single"/>
        </w:rPr>
        <w:t>Задание</w:t>
      </w:r>
    </w:p>
    <w:p w:rsidR="00B22345" w:rsidRDefault="00911629" w:rsidP="001263EF">
      <w:pPr>
        <w:ind w:firstLine="0"/>
        <w:rPr>
          <w:szCs w:val="28"/>
        </w:rPr>
      </w:pPr>
      <w:r>
        <w:rPr>
          <w:szCs w:val="28"/>
        </w:rPr>
        <w:t>П</w:t>
      </w:r>
      <w:r w:rsidR="00B178E5" w:rsidRPr="00DE7B93">
        <w:rPr>
          <w:szCs w:val="28"/>
        </w:rPr>
        <w:t>одготовить конспект</w:t>
      </w:r>
      <w:r>
        <w:rPr>
          <w:szCs w:val="28"/>
        </w:rPr>
        <w:t xml:space="preserve"> </w:t>
      </w:r>
      <w:r w:rsidR="00CA3E8A">
        <w:rPr>
          <w:szCs w:val="28"/>
        </w:rPr>
        <w:t>по во</w:t>
      </w:r>
      <w:r w:rsidR="000B44E6">
        <w:rPr>
          <w:szCs w:val="28"/>
        </w:rPr>
        <w:t>просам самопроверки</w:t>
      </w:r>
      <w:r w:rsidR="001263EF">
        <w:rPr>
          <w:szCs w:val="28"/>
        </w:rPr>
        <w:t>.</w:t>
      </w:r>
    </w:p>
    <w:p w:rsidR="001263EF" w:rsidRPr="00DE7B93" w:rsidRDefault="001263EF" w:rsidP="001263EF">
      <w:pPr>
        <w:ind w:firstLine="0"/>
        <w:rPr>
          <w:i/>
          <w:szCs w:val="28"/>
        </w:rPr>
      </w:pPr>
      <w:r>
        <w:rPr>
          <w:b/>
          <w:noProof/>
          <w:szCs w:val="28"/>
        </w:rPr>
        <w:pict>
          <v:rect id="_x0000_i1142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1263EF" w:rsidRDefault="00B178E5" w:rsidP="001263EF">
      <w:pPr>
        <w:ind w:firstLine="0"/>
        <w:jc w:val="center"/>
        <w:rPr>
          <w:szCs w:val="28"/>
          <w:u w:val="single"/>
        </w:rPr>
      </w:pPr>
      <w:r w:rsidRPr="001263EF">
        <w:rPr>
          <w:szCs w:val="28"/>
          <w:u w:val="single"/>
        </w:rPr>
        <w:t>Оценочные средства / форма проверки задания</w:t>
      </w:r>
    </w:p>
    <w:p w:rsidR="00B178E5" w:rsidRPr="00DE7B93" w:rsidRDefault="00B178E5" w:rsidP="001263EF">
      <w:pPr>
        <w:ind w:firstLine="0"/>
        <w:rPr>
          <w:szCs w:val="28"/>
        </w:rPr>
      </w:pPr>
      <w:r w:rsidRPr="00DE7B93">
        <w:rPr>
          <w:szCs w:val="28"/>
        </w:rPr>
        <w:t>Проверка конспектов</w:t>
      </w:r>
      <w:r w:rsidR="001263EF">
        <w:rPr>
          <w:szCs w:val="28"/>
        </w:rPr>
        <w:t>.</w:t>
      </w:r>
    </w:p>
    <w:p w:rsidR="00B178E5" w:rsidRPr="00DE7B93" w:rsidRDefault="00B178E5" w:rsidP="00CA3E8A">
      <w:pPr>
        <w:rPr>
          <w:szCs w:val="28"/>
        </w:rPr>
      </w:pPr>
    </w:p>
    <w:p w:rsidR="00B23BB1" w:rsidRPr="00DE7B93" w:rsidRDefault="00B23BB1" w:rsidP="00CA3E8A">
      <w:pPr>
        <w:rPr>
          <w:szCs w:val="28"/>
        </w:rPr>
      </w:pPr>
    </w:p>
    <w:sectPr w:rsidR="00B23BB1" w:rsidRPr="00DE7B93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519C1AF8"/>
    <w:multiLevelType w:val="hybridMultilevel"/>
    <w:tmpl w:val="4364C45E"/>
    <w:lvl w:ilvl="0" w:tplc="1CB0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1"/>
    <w:rsid w:val="00041750"/>
    <w:rsid w:val="000B44E6"/>
    <w:rsid w:val="001263EF"/>
    <w:rsid w:val="00135A90"/>
    <w:rsid w:val="001635DB"/>
    <w:rsid w:val="00193821"/>
    <w:rsid w:val="001E5B64"/>
    <w:rsid w:val="002110B8"/>
    <w:rsid w:val="00262C70"/>
    <w:rsid w:val="002D007A"/>
    <w:rsid w:val="00461E2A"/>
    <w:rsid w:val="00472B54"/>
    <w:rsid w:val="005626F3"/>
    <w:rsid w:val="00604DC2"/>
    <w:rsid w:val="00754AA0"/>
    <w:rsid w:val="00833E25"/>
    <w:rsid w:val="008D4704"/>
    <w:rsid w:val="00911629"/>
    <w:rsid w:val="009F3FA0"/>
    <w:rsid w:val="00A44679"/>
    <w:rsid w:val="00B178E5"/>
    <w:rsid w:val="00B22345"/>
    <w:rsid w:val="00B23BB1"/>
    <w:rsid w:val="00BD0DAA"/>
    <w:rsid w:val="00C87644"/>
    <w:rsid w:val="00CA3E8A"/>
    <w:rsid w:val="00DE7B93"/>
    <w:rsid w:val="00DF0D65"/>
    <w:rsid w:val="00E2171C"/>
    <w:rsid w:val="00E665B7"/>
    <w:rsid w:val="00F20C2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2F85"/>
  <w15:chartTrackingRefBased/>
  <w15:docId w15:val="{9BB2E0DE-C989-104F-885F-D2A9834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a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6clQGEItA&amp;t=9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YbqqpvgWD0" TargetMode="External"/><Relationship Id="rId5" Type="http://schemas.openxmlformats.org/officeDocument/2006/relationships/hyperlink" Target="mailto:priest.serg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4</cp:revision>
  <dcterms:created xsi:type="dcterms:W3CDTF">2020-05-12T20:03:00Z</dcterms:created>
  <dcterms:modified xsi:type="dcterms:W3CDTF">2020-05-14T14:33:00Z</dcterms:modified>
</cp:coreProperties>
</file>